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640"/>
        <w:jc w:val="center"/>
        <w:rPr>
          <w:rFonts w:asciiTheme="majorEastAsia" w:hAnsiTheme="majorEastAsia" w:eastAsiaTheme="majorEastAsia" w:cstheme="majorEastAsia"/>
          <w:b/>
          <w:color w:val="000000"/>
          <w:kern w:val="0"/>
          <w:sz w:val="44"/>
          <w:szCs w:val="44"/>
        </w:rPr>
      </w:pPr>
    </w:p>
    <w:p>
      <w:pPr>
        <w:widowControl/>
        <w:spacing w:line="360" w:lineRule="auto"/>
        <w:ind w:right="640"/>
        <w:jc w:val="center"/>
        <w:rPr>
          <w:rFonts w:asciiTheme="majorEastAsia" w:hAnsiTheme="majorEastAsia" w:eastAsiaTheme="majorEastAsia" w:cstheme="majorEastAsia"/>
          <w:b/>
          <w:color w:val="000000"/>
          <w:kern w:val="0"/>
          <w:sz w:val="44"/>
          <w:szCs w:val="44"/>
        </w:rPr>
      </w:pPr>
    </w:p>
    <w:p>
      <w:pPr>
        <w:widowControl/>
        <w:spacing w:line="360" w:lineRule="auto"/>
        <w:ind w:right="640"/>
        <w:jc w:val="left"/>
        <w:rPr>
          <w:rFonts w:asciiTheme="majorEastAsia" w:hAnsiTheme="majorEastAsia" w:eastAsiaTheme="majorEastAsia" w:cstheme="majorEastAsia"/>
          <w:b/>
          <w:color w:val="000000"/>
          <w:kern w:val="0"/>
          <w:sz w:val="44"/>
          <w:szCs w:val="44"/>
        </w:rPr>
      </w:pPr>
    </w:p>
    <w:p>
      <w:pPr>
        <w:widowControl/>
        <w:spacing w:line="360" w:lineRule="auto"/>
        <w:ind w:right="640"/>
        <w:jc w:val="center"/>
        <w:rPr>
          <w:rFonts w:asciiTheme="majorEastAsia" w:hAnsiTheme="majorEastAsia" w:eastAsiaTheme="majorEastAsia" w:cstheme="majorEastAsia"/>
          <w:b/>
          <w:color w:val="000000"/>
          <w:kern w:val="0"/>
          <w:sz w:val="44"/>
          <w:szCs w:val="44"/>
        </w:rPr>
      </w:pPr>
      <w:r>
        <w:rPr>
          <w:rFonts w:hint="eastAsia" w:asciiTheme="majorEastAsia" w:hAnsiTheme="majorEastAsia" w:eastAsiaTheme="majorEastAsia" w:cstheme="majorEastAsia"/>
          <w:b/>
          <w:color w:val="000000"/>
          <w:kern w:val="0"/>
          <w:sz w:val="44"/>
          <w:szCs w:val="44"/>
        </w:rPr>
        <w:t>金凤区党委办公室2020年部门预算公开</w:t>
      </w: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p>
    <w:p>
      <w:pPr>
        <w:widowControl/>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金凤区党委办公室2020年部门预算——单位概况</w:t>
      </w:r>
    </w:p>
    <w:p>
      <w:pPr>
        <w:widowControl/>
        <w:jc w:val="center"/>
        <w:outlineLvl w:val="1"/>
        <w:rPr>
          <w:rFonts w:ascii="宋体" w:hAnsi="宋体"/>
          <w:b/>
          <w:kern w:val="0"/>
          <w:sz w:val="32"/>
          <w:szCs w:val="32"/>
        </w:rPr>
      </w:pPr>
    </w:p>
    <w:p>
      <w:pPr>
        <w:spacing w:line="54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一、主要职能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（一）加强政治机关建设，增强“四个意识”、坚定“四个自信”</w:t>
      </w:r>
      <w:r>
        <w:rPr>
          <w:rFonts w:hint="eastAsia" w:ascii="仿宋" w:hAnsi="仿宋" w:eastAsia="仿宋"/>
          <w:sz w:val="32"/>
          <w:szCs w:val="32"/>
          <w:lang w:eastAsia="zh-CN"/>
        </w:rPr>
        <w:t>、</w:t>
      </w:r>
      <w:r>
        <w:rPr>
          <w:rFonts w:hint="eastAsia" w:ascii="仿宋" w:hAnsi="仿宋" w:eastAsia="仿宋"/>
          <w:sz w:val="32"/>
          <w:szCs w:val="32"/>
        </w:rPr>
        <w:t>坚决做到“两个维护”，发挥“四最一中枢”作用。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（二）负责推动党的路线、方针、政策及党中央、区市党委和金凤区委重大决策部署贯彻落实。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（三）围绕中央和区市各级党委中心工作，对金凤区经济、政治、文化、社会、生态文明建设和党的建设等全局性重大问题进行调查研究，为区委科学决策提供依据。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（四）负责区委各类会议、重大活动和区委领导同志公务活动的组织协调服务等工作。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（五）负责中央、自治区、银川市来文来件办理和区委各类文件、文稿、领导讲话的起草、审核、制发工作，负责区委日常文书处理等工作，负责区委和办公室印章、介绍信的管理使用。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（六）负责金凤区各类信息收集、综合和分析研判，向区市党委和金凤区委报送信息、反映动态，承担紧急突发情况信息报送工作。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（七）负责区委党内法规制度建设和党务公开工作，统筹协调和督促指导金凤区党内法规、党务公开工作。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八）负责中央、自治区党委、银川市委决策部署和领导同志指示批示贯彻落实情况的督促检查，负责金凤区委决策部署、重点工作安排和区委领导同志指示批示的督办落实，统筹规范金凤区督查检查工作。负责党代表意见建议和有关人大代表议案、政协委员提案的督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（九）负责金凤区绩效考核工作。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（十）负责金凤区委总值班工作，及时向自治区党委、银川市委报告重要情况，协调处理辖区各部门（单位）向金凤区委反映的重要问题。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（十一）负责或协调配合各级领导辖区视察，以及各级领导及重要外宾等辖区公务活动的组织安排、服务保障工作。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（十二）负责金凤区党政军领导机关及要害部门核心机密文件、信息传递工作。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三）负责贯彻执行档案工作的方针政策和法律法规，制定本行政区域内档案事业发展规划和档案工作的规章制度并组织实施，履行档案的行政管理、监督指导和档案宣传、教育、科研等职责，依法查处档案违法行为。负责金凤区委档案管理和开发利用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（十四）协调指导人民网地方领导留言板、区市领导留言板转办件和问政金凤政务微博群众反映问题的转办及督办工作。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（十五）负责区委保密委员会办公室、区委督查室、区档案局日常工作，管理档案馆。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（十六）承办区委及党委领导交办的其他工作。</w:t>
      </w:r>
    </w:p>
    <w:p>
      <w:pPr>
        <w:spacing w:line="540" w:lineRule="exact"/>
        <w:ind w:firstLine="480"/>
        <w:jc w:val="left"/>
        <w:rPr>
          <w:rFonts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spacing w:line="540" w:lineRule="exact"/>
        <w:ind w:firstLine="660"/>
        <w:jc w:val="left"/>
        <w:rPr>
          <w:rFonts w:ascii="仿宋" w:hAnsi="仿宋" w:eastAsia="仿宋"/>
          <w:sz w:val="32"/>
          <w:szCs w:val="32"/>
        </w:rPr>
      </w:pPr>
      <w:r>
        <w:rPr>
          <w:rFonts w:hint="eastAsia" w:ascii="仿宋" w:hAnsi="仿宋" w:eastAsia="仿宋"/>
          <w:sz w:val="32"/>
          <w:szCs w:val="32"/>
        </w:rPr>
        <w:t>从预算单位构成看，金凤区党委办公室纳入2020年部门预算编制范围的独立核算单位共1个，部门预算为本级财政预算。</w:t>
      </w:r>
    </w:p>
    <w:p>
      <w:pPr>
        <w:rPr>
          <w:rFonts w:ascii="仿宋" w:hAnsi="仿宋" w:eastAsia="仿宋"/>
        </w:rPr>
      </w:pPr>
    </w:p>
    <w:p>
      <w:pPr>
        <w:sectPr>
          <w:pgSz w:w="11906" w:h="16838"/>
          <w:pgMar w:top="1440" w:right="1800" w:bottom="1440" w:left="1800" w:header="851" w:footer="992" w:gutter="0"/>
          <w:cols w:space="720" w:num="1"/>
          <w:docGrid w:type="lines" w:linePitch="312" w:charSpace="0"/>
        </w:sectPr>
      </w:pPr>
    </w:p>
    <w:p>
      <w:pPr>
        <w:widowControl/>
        <w:jc w:val="left"/>
        <w:outlineLvl w:val="1"/>
        <w:rPr>
          <w:rFonts w:ascii="仿宋_GB2312" w:hAnsi="宋体" w:eastAsia="仿宋_GB2312"/>
          <w:b/>
          <w:kern w:val="0"/>
          <w:sz w:val="36"/>
          <w:szCs w:val="36"/>
        </w:rPr>
      </w:pPr>
      <w:r>
        <w:rPr>
          <w:rFonts w:hint="eastAsia" w:ascii="仿宋_GB2312" w:hAnsi="宋体" w:eastAsia="仿宋_GB2312"/>
          <w:b/>
          <w:kern w:val="0"/>
          <w:sz w:val="36"/>
          <w:szCs w:val="36"/>
        </w:rPr>
        <w:t>金凤区党委办公室2020年部门预算——预算表</w:t>
      </w: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一、财政拨款收支预算总表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财政拨款收支预算总表</w:t>
      </w:r>
    </w:p>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3160" w:type="dxa"/>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政府性基金预算财政拨款支出</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241.33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241.33</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241.33　</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241.33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192.6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192.6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25.15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25.15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（十七）自然资源海洋气象等支出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11.17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11.17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（二十）灾害防治及应急管理支出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241.33　</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支出总计241.33</w:t>
            </w:r>
          </w:p>
        </w:tc>
      </w:tr>
    </w:tbl>
    <w:p>
      <w:pPr>
        <w:widowControl/>
        <w:outlineLvl w:val="1"/>
        <w:rPr>
          <w:rFonts w:ascii="仿宋_GB2312" w:hAnsi="宋体" w:eastAsia="仿宋_GB2312"/>
          <w:kern w:val="0"/>
          <w:sz w:val="32"/>
          <w:szCs w:val="32"/>
        </w:rPr>
      </w:pPr>
      <w:r>
        <w:rPr>
          <w:rFonts w:hint="eastAsia" w:ascii="仿宋_GB2312" w:hAnsi="宋体" w:eastAsia="仿宋_GB2312"/>
          <w:kern w:val="0"/>
          <w:sz w:val="32"/>
          <w:szCs w:val="32"/>
        </w:rPr>
        <w:t>注：支出预算功能科目各单位根据本单位实际据实填写，其他科目删除。</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二、财政拨款支出预算总表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财政拨款支出预算总表</w:t>
      </w:r>
    </w:p>
    <w:p>
      <w:pPr>
        <w:widowControl/>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3890" w:type="dxa"/>
        <w:tblInd w:w="91" w:type="dxa"/>
        <w:tblLayout w:type="fixed"/>
        <w:tblCellMar>
          <w:top w:w="0" w:type="dxa"/>
          <w:left w:w="108" w:type="dxa"/>
          <w:bottom w:w="0" w:type="dxa"/>
          <w:right w:w="108" w:type="dxa"/>
        </w:tblCellMar>
      </w:tblPr>
      <w:tblGrid>
        <w:gridCol w:w="1104"/>
        <w:gridCol w:w="1455"/>
        <w:gridCol w:w="1258"/>
        <w:gridCol w:w="1258"/>
        <w:gridCol w:w="1258"/>
        <w:gridCol w:w="1258"/>
        <w:gridCol w:w="1259"/>
        <w:gridCol w:w="1258"/>
        <w:gridCol w:w="1258"/>
        <w:gridCol w:w="1258"/>
        <w:gridCol w:w="1266"/>
      </w:tblGrid>
      <w:tr>
        <w:tblPrEx>
          <w:tblCellMar>
            <w:top w:w="0" w:type="dxa"/>
            <w:left w:w="108" w:type="dxa"/>
            <w:bottom w:w="0" w:type="dxa"/>
            <w:right w:w="108" w:type="dxa"/>
          </w:tblCellMar>
        </w:tblPrEx>
        <w:trPr>
          <w:trHeight w:val="497" w:hRule="atLeast"/>
        </w:trPr>
        <w:tc>
          <w:tcPr>
            <w:tcW w:w="25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功能分类科目</w:t>
            </w:r>
          </w:p>
        </w:tc>
        <w:tc>
          <w:tcPr>
            <w:tcW w:w="125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预算安排总计</w:t>
            </w:r>
          </w:p>
        </w:tc>
        <w:tc>
          <w:tcPr>
            <w:tcW w:w="5033" w:type="dxa"/>
            <w:gridSpan w:val="4"/>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b/>
                <w:color w:val="000000"/>
                <w:kern w:val="0"/>
                <w:szCs w:val="21"/>
              </w:rPr>
            </w:pPr>
            <w:r>
              <w:rPr>
                <w:rFonts w:hint="eastAsia" w:ascii="宋体" w:hAnsi="宋体" w:cs="宋体"/>
                <w:b/>
                <w:bCs/>
                <w:color w:val="000000"/>
                <w:kern w:val="0"/>
                <w:szCs w:val="21"/>
              </w:rPr>
              <w:t>一般公共财政预算拨款支出</w:t>
            </w:r>
          </w:p>
        </w:tc>
        <w:tc>
          <w:tcPr>
            <w:tcW w:w="5040" w:type="dxa"/>
            <w:gridSpan w:val="4"/>
            <w:tcBorders>
              <w:top w:val="single" w:color="auto" w:sz="4" w:space="0"/>
              <w:left w:val="nil"/>
              <w:bottom w:val="single" w:color="auto" w:sz="4" w:space="0"/>
              <w:right w:val="single" w:color="auto" w:sz="4" w:space="0"/>
            </w:tcBorders>
            <w:vAlign w:val="center"/>
          </w:tcPr>
          <w:p>
            <w:pPr>
              <w:widowControl/>
              <w:jc w:val="center"/>
              <w:rPr>
                <w:b/>
                <w:color w:val="000000"/>
                <w:kern w:val="0"/>
                <w:szCs w:val="21"/>
              </w:rPr>
            </w:pPr>
            <w:r>
              <w:rPr>
                <w:rFonts w:hint="eastAsia"/>
                <w:b/>
                <w:color w:val="000000"/>
                <w:kern w:val="0"/>
                <w:szCs w:val="21"/>
              </w:rPr>
              <w:t>政府性基金预算财政拨款支出</w:t>
            </w:r>
          </w:p>
        </w:tc>
      </w:tr>
      <w:tr>
        <w:tblPrEx>
          <w:tblCellMar>
            <w:top w:w="0" w:type="dxa"/>
            <w:left w:w="108" w:type="dxa"/>
            <w:bottom w:w="0" w:type="dxa"/>
            <w:right w:w="108" w:type="dxa"/>
          </w:tblCellMar>
        </w:tblPrEx>
        <w:trPr>
          <w:trHeight w:val="92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科目编码</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科目名称</w:t>
            </w:r>
          </w:p>
        </w:tc>
        <w:tc>
          <w:tcPr>
            <w:tcW w:w="125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本级财力安排支出</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b/>
                <w:color w:val="000000"/>
                <w:kern w:val="0"/>
                <w:szCs w:val="21"/>
              </w:rPr>
              <w:t>专项转移支付安排支出</w:t>
            </w: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b/>
                <w:color w:val="000000"/>
                <w:kern w:val="0"/>
                <w:szCs w:val="21"/>
              </w:rPr>
              <w:t>一般性转移支付安排支出</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Cs w:val="21"/>
              </w:rPr>
              <w:t>本级财力安排支出</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color w:val="000000"/>
                <w:kern w:val="0"/>
                <w:sz w:val="20"/>
                <w:szCs w:val="20"/>
              </w:rPr>
            </w:pPr>
            <w:r>
              <w:rPr>
                <w:rFonts w:hint="eastAsia"/>
                <w:b/>
                <w:color w:val="000000"/>
                <w:kern w:val="0"/>
                <w:szCs w:val="21"/>
              </w:rPr>
              <w:t>专项转移支付安排支出</w:t>
            </w:r>
          </w:p>
        </w:tc>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color w:val="000000"/>
                <w:kern w:val="0"/>
                <w:sz w:val="20"/>
                <w:szCs w:val="20"/>
              </w:rPr>
            </w:pPr>
            <w:r>
              <w:rPr>
                <w:rFonts w:hint="eastAsia"/>
                <w:b/>
                <w:color w:val="000000"/>
                <w:kern w:val="0"/>
                <w:szCs w:val="21"/>
              </w:rPr>
              <w:t>一般性转移支付安排支出</w:t>
            </w:r>
          </w:p>
        </w:tc>
      </w:tr>
      <w:tr>
        <w:tblPrEx>
          <w:tblCellMar>
            <w:top w:w="0" w:type="dxa"/>
            <w:left w:w="108" w:type="dxa"/>
            <w:bottom w:w="0" w:type="dxa"/>
            <w:right w:w="108" w:type="dxa"/>
          </w:tblCellMar>
        </w:tblPrEx>
        <w:trPr>
          <w:trHeight w:val="434"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241.33</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241.33</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 w:val="22"/>
                <w:szCs w:val="22"/>
              </w:rPr>
              <w:t>241.33</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color w:val="000000"/>
                <w:kern w:val="0"/>
                <w:szCs w:val="21"/>
              </w:rPr>
            </w:pP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color w:val="000000"/>
                <w:kern w:val="0"/>
                <w:szCs w:val="21"/>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 w:val="22"/>
                <w:szCs w:val="22"/>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kern w:val="0"/>
                <w:szCs w:val="21"/>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color w:val="000000"/>
                <w:kern w:val="0"/>
                <w:szCs w:val="21"/>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color w:val="000000"/>
                <w:kern w:val="0"/>
                <w:szCs w:val="21"/>
              </w:rPr>
            </w:pPr>
          </w:p>
        </w:tc>
      </w:tr>
      <w:tr>
        <w:tblPrEx>
          <w:tblCellMar>
            <w:top w:w="0" w:type="dxa"/>
            <w:left w:w="108" w:type="dxa"/>
            <w:bottom w:w="0" w:type="dxa"/>
            <w:right w:w="108" w:type="dxa"/>
          </w:tblCellMar>
        </w:tblPrEx>
        <w:trPr>
          <w:trHeight w:val="49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2013101</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CellMar>
            <w:top w:w="0" w:type="dxa"/>
            <w:left w:w="108" w:type="dxa"/>
            <w:bottom w:w="0" w:type="dxa"/>
            <w:right w:w="108" w:type="dxa"/>
          </w:tblCellMar>
        </w:tblPrEx>
        <w:trPr>
          <w:trHeight w:val="542"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pPr>
            <w:r>
              <w:rPr>
                <w:rFonts w:hint="eastAsia" w:ascii="宋体" w:hAnsi="宋体" w:cs="宋体"/>
                <w:color w:val="000000"/>
                <w:kern w:val="0"/>
                <w:sz w:val="20"/>
                <w:szCs w:val="20"/>
              </w:rPr>
              <w:t>机关事业单位基本养老保险缴费支出</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CellMar>
            <w:top w:w="0" w:type="dxa"/>
            <w:left w:w="108" w:type="dxa"/>
            <w:bottom w:w="0" w:type="dxa"/>
            <w:right w:w="108" w:type="dxa"/>
          </w:tblCellMar>
        </w:tblPrEx>
        <w:trPr>
          <w:trHeight w:val="536"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机关事业单位职业年金缴费支出</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CellMar>
            <w:top w:w="0" w:type="dxa"/>
            <w:left w:w="108" w:type="dxa"/>
            <w:bottom w:w="0" w:type="dxa"/>
            <w:right w:w="108" w:type="dxa"/>
          </w:tblCellMar>
        </w:tblPrEx>
        <w:trPr>
          <w:trHeight w:val="55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2101101</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行政单位医疗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CellMar>
            <w:top w:w="0" w:type="dxa"/>
            <w:left w:w="108" w:type="dxa"/>
            <w:bottom w:w="0" w:type="dxa"/>
            <w:right w:w="108" w:type="dxa"/>
          </w:tblCellMar>
        </w:tblPrEx>
        <w:trPr>
          <w:trHeight w:val="550"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2101103</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公务员医疗补助</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CellMar>
            <w:top w:w="0" w:type="dxa"/>
            <w:left w:w="108" w:type="dxa"/>
            <w:bottom w:w="0" w:type="dxa"/>
            <w:right w:w="108" w:type="dxa"/>
          </w:tblCellMar>
        </w:tblPrEx>
        <w:trPr>
          <w:trHeight w:val="545"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2210201</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r>
        <w:tblPrEx>
          <w:tblCellMar>
            <w:top w:w="0" w:type="dxa"/>
            <w:left w:w="108" w:type="dxa"/>
            <w:bottom w:w="0" w:type="dxa"/>
            <w:right w:w="108" w:type="dxa"/>
          </w:tblCellMar>
        </w:tblPrEx>
        <w:trPr>
          <w:trHeight w:val="545"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2013102</w:t>
            </w:r>
          </w:p>
        </w:tc>
        <w:tc>
          <w:tcPr>
            <w:tcW w:w="14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一般行政管理事务</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53.5</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53.5</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53.5</w:t>
            </w: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right"/>
              <w:rPr>
                <w:rFonts w:ascii="宋体" w:hAnsi="宋体" w:cs="宋体"/>
                <w:color w:val="000000"/>
                <w:kern w:val="0"/>
                <w:sz w:val="20"/>
                <w:szCs w:val="20"/>
              </w:rPr>
            </w:pPr>
          </w:p>
        </w:tc>
        <w:tc>
          <w:tcPr>
            <w:tcW w:w="1258"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c>
          <w:tcPr>
            <w:tcW w:w="1266"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left"/>
              <w:rPr>
                <w:color w:val="000000"/>
                <w:kern w:val="0"/>
                <w:sz w:val="20"/>
                <w:szCs w:val="20"/>
              </w:rPr>
            </w:pPr>
          </w:p>
        </w:tc>
      </w:tr>
    </w:tbl>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三、一般公共预算财政拨款支出表</w:t>
      </w: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一般公共预算财政拨款支出表</w:t>
      </w:r>
    </w:p>
    <w:p>
      <w:pPr>
        <w:widowControl/>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3826" w:type="dxa"/>
        <w:tblInd w:w="91" w:type="dxa"/>
        <w:tblLayout w:type="fixed"/>
        <w:tblCellMar>
          <w:top w:w="0" w:type="dxa"/>
          <w:left w:w="108" w:type="dxa"/>
          <w:bottom w:w="0" w:type="dxa"/>
          <w:right w:w="108" w:type="dxa"/>
        </w:tblCellMar>
      </w:tblPr>
      <w:tblGrid>
        <w:gridCol w:w="1675"/>
        <w:gridCol w:w="2026"/>
        <w:gridCol w:w="1821"/>
        <w:gridCol w:w="1658"/>
        <w:gridCol w:w="1842"/>
        <w:gridCol w:w="2026"/>
        <w:gridCol w:w="242"/>
        <w:gridCol w:w="1048"/>
        <w:gridCol w:w="1488"/>
      </w:tblGrid>
      <w:tr>
        <w:tblPrEx>
          <w:tblCellMar>
            <w:top w:w="0" w:type="dxa"/>
            <w:left w:w="108" w:type="dxa"/>
            <w:bottom w:w="0" w:type="dxa"/>
            <w:right w:w="108" w:type="dxa"/>
          </w:tblCellMar>
        </w:tblPrEx>
        <w:trPr>
          <w:trHeight w:val="273" w:hRule="atLeast"/>
        </w:trPr>
        <w:tc>
          <w:tcPr>
            <w:tcW w:w="3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821"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p>
            <w:pPr>
              <w:jc w:val="center"/>
              <w:rPr>
                <w:rFonts w:ascii="宋体" w:hAnsi="宋体" w:cs="宋体"/>
                <w:b/>
                <w:bCs/>
                <w:kern w:val="0"/>
                <w:sz w:val="22"/>
                <w:szCs w:val="22"/>
              </w:rPr>
            </w:pPr>
          </w:p>
        </w:tc>
        <w:tc>
          <w:tcPr>
            <w:tcW w:w="552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2778" w:type="dxa"/>
            <w:gridSpan w:val="3"/>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2020年预算数与2019年执行数（决算数）</w:t>
            </w:r>
          </w:p>
        </w:tc>
      </w:tr>
      <w:tr>
        <w:tblPrEx>
          <w:tblCellMar>
            <w:top w:w="0" w:type="dxa"/>
            <w:left w:w="108" w:type="dxa"/>
            <w:bottom w:w="0" w:type="dxa"/>
            <w:right w:w="108" w:type="dxa"/>
          </w:tblCellMar>
        </w:tblPrEx>
        <w:trPr>
          <w:trHeight w:val="554" w:hRule="atLeast"/>
        </w:trPr>
        <w:tc>
          <w:tcPr>
            <w:tcW w:w="1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02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821"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65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242" w:type="dxa"/>
            <w:tcBorders>
              <w:top w:val="single" w:color="auto" w:sz="4" w:space="0"/>
              <w:bottom w:val="single" w:color="auto" w:sz="4" w:space="0"/>
            </w:tcBorders>
            <w:vAlign w:val="center"/>
          </w:tcPr>
          <w:p>
            <w:pPr>
              <w:widowControl/>
              <w:jc w:val="left"/>
              <w:rPr>
                <w:kern w:val="0"/>
                <w:sz w:val="20"/>
                <w:szCs w:val="20"/>
              </w:rPr>
            </w:pPr>
          </w:p>
        </w:tc>
        <w:tc>
          <w:tcPr>
            <w:tcW w:w="1048"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szCs w:val="22"/>
              </w:rPr>
            </w:pPr>
            <w:r>
              <w:rPr>
                <w:rFonts w:hint="eastAsia" w:ascii="宋体" w:hAnsi="宋体" w:cs="宋体"/>
                <w:b/>
                <w:bCs/>
                <w:kern w:val="0"/>
                <w:sz w:val="22"/>
                <w:szCs w:val="22"/>
              </w:rPr>
              <w:t>增减额</w:t>
            </w:r>
          </w:p>
        </w:tc>
        <w:tc>
          <w:tcPr>
            <w:tcW w:w="1488"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CellMar>
            <w:top w:w="0" w:type="dxa"/>
            <w:left w:w="108" w:type="dxa"/>
            <w:bottom w:w="0" w:type="dxa"/>
            <w:right w:w="108" w:type="dxa"/>
          </w:tblCellMar>
        </w:tblPrEx>
        <w:trPr>
          <w:trHeight w:val="334" w:hRule="atLeast"/>
        </w:trPr>
        <w:tc>
          <w:tcPr>
            <w:tcW w:w="1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02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21" w:type="dxa"/>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268.02</w:t>
            </w:r>
          </w:p>
        </w:tc>
        <w:tc>
          <w:tcPr>
            <w:tcW w:w="165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241.33</w:t>
            </w:r>
          </w:p>
        </w:tc>
        <w:tc>
          <w:tcPr>
            <w:tcW w:w="184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187.83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53.5</w:t>
            </w:r>
          </w:p>
        </w:tc>
        <w:tc>
          <w:tcPr>
            <w:tcW w:w="242" w:type="dxa"/>
            <w:tcBorders>
              <w:top w:val="single" w:color="auto" w:sz="4" w:space="0"/>
              <w:bottom w:val="single" w:color="auto" w:sz="4" w:space="0"/>
            </w:tcBorders>
            <w:vAlign w:val="center"/>
          </w:tcPr>
          <w:p>
            <w:pPr>
              <w:widowControl/>
              <w:jc w:val="left"/>
              <w:rPr>
                <w:kern w:val="0"/>
                <w:sz w:val="20"/>
                <w:szCs w:val="20"/>
              </w:rPr>
            </w:pPr>
          </w:p>
        </w:tc>
        <w:tc>
          <w:tcPr>
            <w:tcW w:w="1048" w:type="dxa"/>
            <w:tcBorders>
              <w:top w:val="single" w:color="auto" w:sz="4" w:space="0"/>
              <w:bottom w:val="single" w:color="auto" w:sz="4" w:space="0"/>
              <w:right w:val="single" w:color="auto" w:sz="4" w:space="0"/>
            </w:tcBorders>
            <w:vAlign w:val="center"/>
          </w:tcPr>
          <w:p>
            <w:pPr>
              <w:widowControl/>
              <w:rPr>
                <w:rFonts w:ascii="宋体" w:hAnsi="宋体" w:cs="宋体"/>
                <w:b/>
                <w:bCs/>
                <w:kern w:val="0"/>
                <w:sz w:val="22"/>
                <w:szCs w:val="22"/>
              </w:rPr>
            </w:pPr>
            <w:r>
              <w:rPr>
                <w:rFonts w:hint="eastAsia" w:ascii="宋体" w:hAnsi="宋体" w:cs="宋体"/>
                <w:b/>
                <w:bCs/>
                <w:kern w:val="0"/>
                <w:sz w:val="22"/>
                <w:szCs w:val="22"/>
              </w:rPr>
              <w:t>-26.69</w:t>
            </w:r>
          </w:p>
        </w:tc>
        <w:tc>
          <w:tcPr>
            <w:tcW w:w="1488" w:type="dxa"/>
            <w:tcBorders>
              <w:top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-9.96</w:t>
            </w:r>
          </w:p>
        </w:tc>
      </w:tr>
      <w:tr>
        <w:tblPrEx>
          <w:tblCellMar>
            <w:top w:w="0" w:type="dxa"/>
            <w:left w:w="108" w:type="dxa"/>
            <w:bottom w:w="0" w:type="dxa"/>
            <w:right w:w="108" w:type="dxa"/>
          </w:tblCellMar>
        </w:tblPrEx>
        <w:trPr>
          <w:trHeight w:val="273"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2013101</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165.47　</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90" w:type="dxa"/>
            <w:gridSpan w:val="2"/>
            <w:tcBorders>
              <w:bottom w:val="single" w:color="auto" w:sz="4" w:space="0"/>
              <w:right w:val="single" w:color="auto" w:sz="4" w:space="0"/>
            </w:tcBorders>
          </w:tcPr>
          <w:p>
            <w:pPr>
              <w:widowControl/>
              <w:jc w:val="left"/>
              <w:rPr>
                <w:kern w:val="0"/>
                <w:sz w:val="20"/>
                <w:szCs w:val="20"/>
              </w:rPr>
            </w:pPr>
            <w:r>
              <w:rPr>
                <w:rFonts w:hint="eastAsia"/>
                <w:kern w:val="0"/>
                <w:sz w:val="20"/>
                <w:szCs w:val="20"/>
              </w:rPr>
              <w:t>-25.37</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-15.33</w:t>
            </w:r>
          </w:p>
        </w:tc>
      </w:tr>
      <w:tr>
        <w:tblPrEx>
          <w:tblCellMar>
            <w:top w:w="0" w:type="dxa"/>
            <w:left w:w="108" w:type="dxa"/>
            <w:bottom w:w="0" w:type="dxa"/>
            <w:right w:w="108" w:type="dxa"/>
          </w:tblCellMar>
        </w:tblPrEx>
        <w:trPr>
          <w:trHeight w:val="273"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2080504</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未归口管理的行政单位离退休</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0.6</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290" w:type="dxa"/>
            <w:gridSpan w:val="2"/>
            <w:tcBorders>
              <w:bottom w:val="single" w:color="auto" w:sz="4" w:space="0"/>
              <w:right w:val="single" w:color="auto" w:sz="4" w:space="0"/>
            </w:tcBorders>
          </w:tcPr>
          <w:p>
            <w:pPr>
              <w:widowControl/>
              <w:jc w:val="left"/>
              <w:rPr>
                <w:kern w:val="0"/>
                <w:sz w:val="20"/>
                <w:szCs w:val="20"/>
              </w:rPr>
            </w:pP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298"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w:t>
            </w:r>
          </w:p>
        </w:tc>
        <w:tc>
          <w:tcPr>
            <w:tcW w:w="2026" w:type="dxa"/>
            <w:tcBorders>
              <w:top w:val="nil"/>
              <w:left w:val="nil"/>
              <w:bottom w:val="single" w:color="auto" w:sz="4" w:space="0"/>
              <w:right w:val="single" w:color="auto" w:sz="4" w:space="0"/>
            </w:tcBorders>
            <w:vAlign w:val="center"/>
          </w:tcPr>
          <w:p>
            <w:pPr>
              <w:spacing w:line="240" w:lineRule="exact"/>
            </w:pPr>
            <w:r>
              <w:rPr>
                <w:rFonts w:hint="eastAsia" w:ascii="宋体" w:hAnsi="宋体" w:cs="宋体"/>
                <w:color w:val="000000"/>
                <w:kern w:val="0"/>
                <w:sz w:val="20"/>
                <w:szCs w:val="20"/>
              </w:rPr>
              <w:t>机关事业单位基本养老保险缴费支出</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14.3　</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2.95</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20.63</w:t>
            </w:r>
          </w:p>
        </w:tc>
      </w:tr>
      <w:tr>
        <w:tblPrEx>
          <w:tblCellMar>
            <w:top w:w="0" w:type="dxa"/>
            <w:left w:w="108" w:type="dxa"/>
            <w:bottom w:w="0" w:type="dxa"/>
            <w:right w:w="108" w:type="dxa"/>
          </w:tblCellMar>
        </w:tblPrEx>
        <w:trPr>
          <w:trHeight w:val="302"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w:t>
            </w:r>
          </w:p>
        </w:tc>
        <w:tc>
          <w:tcPr>
            <w:tcW w:w="2026" w:type="dxa"/>
            <w:tcBorders>
              <w:top w:val="nil"/>
              <w:left w:val="nil"/>
              <w:bottom w:val="single" w:color="auto" w:sz="4" w:space="0"/>
              <w:right w:val="single" w:color="auto" w:sz="4" w:space="0"/>
            </w:tcBorders>
            <w:vAlign w:val="center"/>
          </w:tcPr>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机关事业单位职业年金缴费支出</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1.5　</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5.4</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360</w:t>
            </w:r>
          </w:p>
        </w:tc>
      </w:tr>
      <w:tr>
        <w:tblPrEx>
          <w:tblCellMar>
            <w:top w:w="0" w:type="dxa"/>
            <w:left w:w="108" w:type="dxa"/>
            <w:bottom w:w="0" w:type="dxa"/>
            <w:right w:w="108" w:type="dxa"/>
          </w:tblCellMar>
        </w:tblPrEx>
        <w:trPr>
          <w:trHeight w:val="302"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2089901</w:t>
            </w:r>
          </w:p>
        </w:tc>
        <w:tc>
          <w:tcPr>
            <w:tcW w:w="2026" w:type="dxa"/>
            <w:tcBorders>
              <w:top w:val="nil"/>
              <w:left w:val="nil"/>
              <w:bottom w:val="single" w:color="auto" w:sz="4" w:space="0"/>
              <w:right w:val="single" w:color="auto" w:sz="4" w:space="0"/>
            </w:tcBorders>
            <w:vAlign w:val="center"/>
          </w:tcPr>
          <w:p>
            <w:pPr>
              <w:spacing w:line="240" w:lineRule="exact"/>
              <w:rPr>
                <w:rFonts w:ascii="宋体" w:hAnsi="宋体" w:cs="宋体"/>
                <w:color w:val="000000"/>
                <w:kern w:val="0"/>
                <w:sz w:val="20"/>
                <w:szCs w:val="20"/>
              </w:rPr>
            </w:pPr>
            <w:r>
              <w:rPr>
                <w:rFonts w:hint="eastAsia" w:ascii="宋体" w:hAnsi="宋体" w:cs="宋体"/>
                <w:color w:val="000000"/>
                <w:kern w:val="0"/>
                <w:sz w:val="20"/>
                <w:szCs w:val="20"/>
              </w:rPr>
              <w:t>其他社会保障和就业支出</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0.96</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306"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2101101</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行政单位医疗　</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6.63　</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0.27</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4.07</w:t>
            </w:r>
          </w:p>
        </w:tc>
      </w:tr>
      <w:tr>
        <w:tblPrEx>
          <w:tblCellMar>
            <w:top w:w="0" w:type="dxa"/>
            <w:left w:w="108" w:type="dxa"/>
            <w:bottom w:w="0" w:type="dxa"/>
            <w:right w:w="108" w:type="dxa"/>
          </w:tblCellMar>
        </w:tblPrEx>
        <w:trPr>
          <w:trHeight w:val="302"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2101103</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公务员医疗补助</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5.31</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0.2</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3.77</w:t>
            </w:r>
          </w:p>
        </w:tc>
      </w:tr>
      <w:tr>
        <w:tblPrEx>
          <w:tblCellMar>
            <w:top w:w="0" w:type="dxa"/>
            <w:left w:w="108" w:type="dxa"/>
            <w:bottom w:w="0" w:type="dxa"/>
            <w:right w:w="108" w:type="dxa"/>
          </w:tblCellMar>
        </w:tblPrEx>
        <w:trPr>
          <w:trHeight w:val="299"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2210201</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10.26　</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0.91</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8.87</w:t>
            </w:r>
          </w:p>
        </w:tc>
      </w:tr>
      <w:tr>
        <w:tblPrEx>
          <w:tblCellMar>
            <w:top w:w="0" w:type="dxa"/>
            <w:left w:w="108" w:type="dxa"/>
            <w:bottom w:w="0" w:type="dxa"/>
            <w:right w:w="108" w:type="dxa"/>
          </w:tblCellMar>
        </w:tblPrEx>
        <w:trPr>
          <w:trHeight w:val="299"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2210203</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购房补贴</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3.59</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299"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2013102</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一般行政管理事务</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57.14</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53.5</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53.5</w:t>
            </w: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-3.64</w:t>
            </w: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-6.37</w:t>
            </w:r>
          </w:p>
        </w:tc>
      </w:tr>
      <w:tr>
        <w:tblPrEx>
          <w:tblCellMar>
            <w:top w:w="0" w:type="dxa"/>
            <w:left w:w="108" w:type="dxa"/>
            <w:bottom w:w="0" w:type="dxa"/>
            <w:right w:w="108" w:type="dxa"/>
          </w:tblCellMar>
        </w:tblPrEx>
        <w:trPr>
          <w:trHeight w:val="297" w:hRule="atLeast"/>
        </w:trPr>
        <w:tc>
          <w:tcPr>
            <w:tcW w:w="16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2013199</w:t>
            </w:r>
          </w:p>
        </w:tc>
        <w:tc>
          <w:tcPr>
            <w:tcW w:w="202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其他党委办公厅（室）及相关机构事务支出</w:t>
            </w:r>
          </w:p>
        </w:tc>
        <w:tc>
          <w:tcPr>
            <w:tcW w:w="1821"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2.26</w:t>
            </w:r>
          </w:p>
        </w:tc>
        <w:tc>
          <w:tcPr>
            <w:tcW w:w="1658"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026"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90" w:type="dxa"/>
            <w:gridSpan w:val="2"/>
            <w:tcBorders>
              <w:top w:val="single" w:color="auto" w:sz="4" w:space="0"/>
              <w:bottom w:val="single" w:color="auto" w:sz="4" w:space="0"/>
              <w:right w:val="single" w:color="auto" w:sz="4" w:space="0"/>
            </w:tcBorders>
          </w:tcPr>
          <w:p>
            <w:pPr>
              <w:widowControl/>
              <w:jc w:val="left"/>
              <w:rPr>
                <w:kern w:val="0"/>
                <w:sz w:val="20"/>
                <w:szCs w:val="20"/>
              </w:rPr>
            </w:pPr>
          </w:p>
        </w:tc>
        <w:tc>
          <w:tcPr>
            <w:tcW w:w="1488"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spacing w:line="520" w:lineRule="exact"/>
        <w:ind w:firstLine="640" w:firstLineChars="200"/>
        <w:outlineLvl w:val="1"/>
        <w:rPr>
          <w:rFonts w:ascii="黑体" w:hAnsi="宋体" w:eastAsia="黑体"/>
          <w:b/>
          <w:kern w:val="0"/>
          <w:sz w:val="32"/>
          <w:szCs w:val="32"/>
        </w:rPr>
      </w:pPr>
      <w:r>
        <w:rPr>
          <w:rFonts w:hint="eastAsia" w:ascii="黑体" w:hAnsi="宋体" w:eastAsia="黑体"/>
          <w:b/>
          <w:kern w:val="0"/>
          <w:sz w:val="32"/>
          <w:szCs w:val="32"/>
        </w:rPr>
        <w:t>四、一般公共预算财政拨款基本支出表</w:t>
      </w:r>
    </w:p>
    <w:p>
      <w:pPr>
        <w:widowControl/>
        <w:spacing w:line="520" w:lineRule="exact"/>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一般公共预算财政拨款基本支出表</w:t>
      </w:r>
    </w:p>
    <w:p>
      <w:pPr>
        <w:widowControl/>
        <w:spacing w:line="520" w:lineRule="exact"/>
        <w:ind w:firstLine="735"/>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基本支出预算</w:t>
            </w:r>
          </w:p>
        </w:tc>
      </w:tr>
      <w:tr>
        <w:tblPrEx>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2"/>
                <w:szCs w:val="22"/>
              </w:rPr>
            </w:pPr>
            <w:r>
              <w:rPr>
                <w:rFonts w:hint="eastAsia"/>
                <w:b/>
                <w:bCs/>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sz w:val="22"/>
                <w:szCs w:val="22"/>
              </w:rPr>
            </w:pPr>
            <w:r>
              <w:rPr>
                <w:rFonts w:hint="eastAsia" w:ascii="宋体" w:hAnsi="宋体"/>
                <w:b/>
                <w:bCs/>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sz w:val="22"/>
                <w:szCs w:val="22"/>
              </w:rPr>
            </w:pPr>
            <w:r>
              <w:rPr>
                <w:rFonts w:hint="eastAsia" w:ascii="宋体" w:hAnsi="宋体"/>
                <w:b/>
                <w:bCs/>
                <w:sz w:val="22"/>
                <w:szCs w:val="22"/>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187.83</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162.24</w:t>
            </w: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25.59</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160.9</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160.9</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基本工资</w:t>
            </w:r>
          </w:p>
        </w:tc>
        <w:tc>
          <w:tcPr>
            <w:tcW w:w="252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48.56</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48.56</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津贴补贴</w:t>
            </w:r>
          </w:p>
        </w:tc>
        <w:tc>
          <w:tcPr>
            <w:tcW w:w="252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40.36</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40.36</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奖金</w:t>
            </w:r>
          </w:p>
        </w:tc>
        <w:tc>
          <w:tcPr>
            <w:tcW w:w="252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23.25</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23.25</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伙食补助费</w:t>
            </w:r>
          </w:p>
        </w:tc>
        <w:tc>
          <w:tcPr>
            <w:tcW w:w="252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绩效工资</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17.25</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17.25</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职业年金缴费</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6.9</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6.9</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职工基本医疗保险缴费</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6.9</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6.9</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公务员医疗补助缴费</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5.51</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5.51</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其他社会保障缴费</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住房公积金</w:t>
            </w:r>
          </w:p>
        </w:tc>
        <w:tc>
          <w:tcPr>
            <w:tcW w:w="252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11.17</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11.17</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sz w:val="22"/>
                <w:szCs w:val="22"/>
              </w:rPr>
            </w:pPr>
            <w:r>
              <w:rPr>
                <w:rFonts w:hint="eastAsia" w:ascii="宋体" w:hAnsi="宋体"/>
                <w:sz w:val="22"/>
                <w:szCs w:val="22"/>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二、商品和服务支出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25.56</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25.56</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4</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印刷费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咨询费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手续费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邮电费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公务接待费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1.36</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1.36</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工会经费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1.64</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1.64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福利费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9.9</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9.9</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其他交通费用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6.34</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6.34</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2.32</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2.32</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1.37</w:t>
            </w:r>
          </w:p>
        </w:tc>
        <w:tc>
          <w:tcPr>
            <w:tcW w:w="2700" w:type="dxa"/>
            <w:tcBorders>
              <w:top w:val="nil"/>
              <w:left w:val="nil"/>
              <w:bottom w:val="single" w:color="auto" w:sz="4" w:space="0"/>
              <w:right w:val="single" w:color="auto" w:sz="4" w:space="0"/>
            </w:tcBorders>
            <w:vAlign w:val="center"/>
          </w:tcPr>
          <w:p>
            <w:pPr>
              <w:jc w:val="right"/>
              <w:rPr>
                <w:rFonts w:ascii="宋体" w:hAnsi="宋体" w:cs="宋体"/>
                <w:sz w:val="22"/>
                <w:szCs w:val="22"/>
              </w:rPr>
            </w:pPr>
            <w:r>
              <w:rPr>
                <w:rFonts w:hint="eastAsia" w:ascii="宋体" w:hAnsi="宋体" w:cs="宋体"/>
                <w:sz w:val="22"/>
                <w:szCs w:val="22"/>
              </w:rPr>
              <w:t>1.34</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0.03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0.6</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0.6</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0.74</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0.74</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cs="宋体"/>
                <w:sz w:val="22"/>
                <w:szCs w:val="22"/>
              </w:rPr>
              <w:t>0.03</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ascii="宋体" w:hAnsi="宋体" w:cs="宋体"/>
                <w:sz w:val="22"/>
                <w:szCs w:val="22"/>
              </w:rPr>
              <w:t>0.03</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sz w:val="22"/>
                <w:szCs w:val="22"/>
              </w:rPr>
            </w:pPr>
            <w:r>
              <w:rPr>
                <w:rFonts w:hint="eastAsia" w:ascii="宋体" w:hAnsi="宋体"/>
                <w:b/>
                <w:bCs/>
                <w:sz w:val="22"/>
                <w:szCs w:val="22"/>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sz w:val="22"/>
                <w:szCs w:val="22"/>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sz w:val="22"/>
                <w:szCs w:val="22"/>
              </w:rPr>
            </w:pPr>
            <w:r>
              <w:rPr>
                <w:rFonts w:hint="eastAsia" w:ascii="宋体" w:hAnsi="宋体"/>
                <w:sz w:val="22"/>
                <w:szCs w:val="22"/>
              </w:rPr>
              <w:t>　</w:t>
            </w:r>
          </w:p>
        </w:tc>
        <w:tc>
          <w:tcPr>
            <w:tcW w:w="270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c>
          <w:tcPr>
            <w:tcW w:w="2340" w:type="dxa"/>
            <w:tcBorders>
              <w:top w:val="nil"/>
              <w:left w:val="nil"/>
              <w:bottom w:val="single" w:color="auto" w:sz="4" w:space="0"/>
              <w:right w:val="single" w:color="auto" w:sz="4" w:space="0"/>
            </w:tcBorders>
            <w:vAlign w:val="center"/>
          </w:tcPr>
          <w:p>
            <w:pPr>
              <w:rPr>
                <w:rFonts w:ascii="宋体" w:hAnsi="宋体" w:cs="宋体"/>
                <w:sz w:val="22"/>
                <w:szCs w:val="22"/>
              </w:rPr>
            </w:pPr>
            <w:r>
              <w:rPr>
                <w:rFonts w:hint="eastAsia"/>
                <w:sz w:val="22"/>
                <w:szCs w:val="22"/>
              </w:rPr>
              <w:t>　</w:t>
            </w:r>
          </w:p>
        </w:tc>
      </w:tr>
    </w:tbl>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五、一般公共预算财政拨款“三公”经费支出表</w:t>
      </w:r>
    </w:p>
    <w:p>
      <w:pPr>
        <w:widowControl/>
        <w:ind w:firstLine="640" w:firstLineChars="200"/>
        <w:outlineLvl w:val="1"/>
        <w:rPr>
          <w:rFonts w:ascii="黑体" w:hAnsi="宋体" w:eastAsia="黑体"/>
          <w:b/>
          <w:kern w:val="0"/>
          <w:sz w:val="32"/>
          <w:szCs w:val="32"/>
        </w:rPr>
      </w:pP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一般公共预算财政拨款“三公”经费支出表</w:t>
      </w:r>
    </w:p>
    <w:p>
      <w:pPr>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11.9</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9.9</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9.9</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2</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4.37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4.25</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4.25</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0.12</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9.9</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9.9</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9.9</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ind w:firstLine="627" w:firstLineChars="196"/>
        <w:outlineLvl w:val="1"/>
        <w:rPr>
          <w:rFonts w:ascii="黑体" w:hAnsi="宋体" w:eastAsia="黑体"/>
          <w:b/>
          <w:kern w:val="0"/>
          <w:sz w:val="32"/>
          <w:szCs w:val="32"/>
        </w:rPr>
      </w:pPr>
      <w:r>
        <w:rPr>
          <w:rFonts w:hint="eastAsia" w:ascii="黑体" w:hAnsi="宋体" w:eastAsia="黑体"/>
          <w:b/>
          <w:kern w:val="0"/>
          <w:sz w:val="32"/>
          <w:szCs w:val="32"/>
        </w:rPr>
        <w:t>六、政府性基金预算财政拨款支出表</w:t>
      </w:r>
    </w:p>
    <w:p>
      <w:pPr>
        <w:widowControl/>
        <w:spacing w:line="240" w:lineRule="exact"/>
        <w:ind w:firstLine="627" w:firstLineChars="196"/>
        <w:outlineLvl w:val="1"/>
        <w:rPr>
          <w:rFonts w:ascii="黑体" w:hAnsi="宋体" w:eastAsia="黑体"/>
          <w:b/>
          <w:kern w:val="0"/>
          <w:sz w:val="32"/>
          <w:szCs w:val="32"/>
        </w:rPr>
      </w:pPr>
    </w:p>
    <w:p>
      <w:pPr>
        <w:widowControl/>
        <w:ind w:firstLine="720" w:firstLineChars="200"/>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政府性基金预算财政拨款支出表</w:t>
      </w:r>
    </w:p>
    <w:p>
      <w:pPr>
        <w:widowControl/>
        <w:ind w:firstLine="720" w:firstLineChars="200"/>
        <w:jc w:val="center"/>
        <w:outlineLvl w:val="1"/>
        <w:rPr>
          <w:rFonts w:ascii="仿宋_GB2312" w:hAnsi="宋体" w:eastAsia="仿宋_GB2312"/>
          <w:kern w:val="0"/>
          <w:sz w:val="32"/>
          <w:szCs w:val="32"/>
        </w:rPr>
      </w:pPr>
      <w:r>
        <w:rPr>
          <w:rFonts w:hint="eastAsia" w:ascii="仿宋_GB2312" w:hAnsi="宋体" w:eastAsia="仿宋_GB2312"/>
          <w:b/>
          <w:kern w:val="0"/>
          <w:sz w:val="36"/>
          <w:szCs w:val="36"/>
        </w:rPr>
        <w:t xml:space="preserve">                                                                </w:t>
      </w:r>
      <w:r>
        <w:rPr>
          <w:rFonts w:hint="eastAsia" w:ascii="仿宋_GB2312" w:hAnsi="宋体" w:eastAsia="仿宋_GB2312"/>
          <w:kern w:val="0"/>
          <w:sz w:val="32"/>
          <w:szCs w:val="32"/>
        </w:rPr>
        <w:t>单位：万元</w:t>
      </w:r>
    </w:p>
    <w:tbl>
      <w:tblPr>
        <w:tblStyle w:val="6"/>
        <w:tblW w:w="14200" w:type="dxa"/>
        <w:tblInd w:w="91" w:type="dxa"/>
        <w:tblLayout w:type="fixed"/>
        <w:tblCellMar>
          <w:top w:w="0" w:type="dxa"/>
          <w:left w:w="108" w:type="dxa"/>
          <w:bottom w:w="0" w:type="dxa"/>
          <w:right w:w="108" w:type="dxa"/>
        </w:tblCellMar>
      </w:tblPr>
      <w:tblGrid>
        <w:gridCol w:w="1420"/>
        <w:gridCol w:w="1420"/>
        <w:gridCol w:w="1420"/>
        <w:gridCol w:w="1420"/>
        <w:gridCol w:w="1420"/>
        <w:gridCol w:w="1420"/>
        <w:gridCol w:w="1420"/>
        <w:gridCol w:w="1420"/>
        <w:gridCol w:w="1420"/>
        <w:gridCol w:w="1420"/>
      </w:tblGrid>
      <w:tr>
        <w:tblPrEx>
          <w:tblCellMar>
            <w:top w:w="0" w:type="dxa"/>
            <w:left w:w="108" w:type="dxa"/>
            <w:bottom w:w="0" w:type="dxa"/>
            <w:right w:w="108" w:type="dxa"/>
          </w:tblCellMar>
        </w:tblPrEx>
        <w:trPr>
          <w:trHeight w:val="468" w:hRule="atLeast"/>
        </w:trPr>
        <w:tc>
          <w:tcPr>
            <w:tcW w:w="28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功能分类科目</w:t>
            </w:r>
          </w:p>
        </w:tc>
        <w:tc>
          <w:tcPr>
            <w:tcW w:w="1420" w:type="dxa"/>
            <w:vMerge w:val="restart"/>
            <w:tcBorders>
              <w:top w:val="single" w:color="auto" w:sz="4" w:space="0"/>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2019年执行数（决算数）</w:t>
            </w:r>
          </w:p>
          <w:p>
            <w:pPr>
              <w:jc w:val="center"/>
              <w:rPr>
                <w:rFonts w:ascii="宋体" w:hAnsi="宋体" w:cs="宋体"/>
                <w:b/>
                <w:bCs/>
                <w:kern w:val="0"/>
                <w:sz w:val="22"/>
                <w:szCs w:val="22"/>
              </w:rPr>
            </w:pPr>
          </w:p>
        </w:tc>
        <w:tc>
          <w:tcPr>
            <w:tcW w:w="7098"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2020年预算数</w:t>
            </w:r>
          </w:p>
        </w:tc>
        <w:tc>
          <w:tcPr>
            <w:tcW w:w="2839" w:type="dxa"/>
            <w:gridSpan w:val="2"/>
            <w:tcBorders>
              <w:top w:val="single" w:color="auto" w:sz="4" w:space="0"/>
              <w:bottom w:val="single" w:color="auto" w:sz="4" w:space="0"/>
              <w:right w:val="single" w:color="auto" w:sz="4" w:space="0"/>
            </w:tcBorders>
            <w:vAlign w:val="center"/>
          </w:tcPr>
          <w:p>
            <w:pPr>
              <w:widowControl/>
              <w:jc w:val="center"/>
              <w:rPr>
                <w:kern w:val="0"/>
                <w:sz w:val="20"/>
                <w:szCs w:val="20"/>
              </w:rPr>
            </w:pPr>
            <w:r>
              <w:rPr>
                <w:rFonts w:hint="eastAsia" w:ascii="宋体" w:hAnsi="宋体" w:cs="宋体"/>
                <w:b/>
                <w:bCs/>
                <w:kern w:val="0"/>
                <w:sz w:val="22"/>
                <w:szCs w:val="22"/>
              </w:rPr>
              <w:t>2020年预算数与2019年执行数（决算数）</w:t>
            </w:r>
          </w:p>
        </w:tc>
      </w:tr>
      <w:tr>
        <w:tblPrEx>
          <w:tblCellMar>
            <w:top w:w="0" w:type="dxa"/>
            <w:left w:w="108" w:type="dxa"/>
            <w:bottom w:w="0" w:type="dxa"/>
            <w:right w:w="108" w:type="dxa"/>
          </w:tblCellMar>
        </w:tblPrEx>
        <w:trPr>
          <w:trHeight w:val="468" w:hRule="atLeast"/>
        </w:trPr>
        <w:tc>
          <w:tcPr>
            <w:tcW w:w="1420" w:type="dxa"/>
            <w:vMerge w:val="restart"/>
            <w:tcBorders>
              <w:top w:val="nil"/>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1420"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1420" w:type="dxa"/>
            <w:vMerge w:val="continue"/>
            <w:tcBorders>
              <w:left w:val="nil"/>
              <w:right w:val="single" w:color="auto" w:sz="4" w:space="0"/>
            </w:tcBorders>
            <w:vAlign w:val="center"/>
          </w:tcPr>
          <w:p>
            <w:pPr>
              <w:widowControl/>
              <w:jc w:val="center"/>
              <w:rPr>
                <w:rFonts w:ascii="宋体" w:hAnsi="宋体" w:cs="宋体"/>
                <w:b/>
                <w:bCs/>
                <w:kern w:val="0"/>
                <w:sz w:val="22"/>
                <w:szCs w:val="22"/>
              </w:rPr>
            </w:pPr>
          </w:p>
        </w:tc>
        <w:tc>
          <w:tcPr>
            <w:tcW w:w="1420" w:type="dxa"/>
            <w:vMerge w:val="restart"/>
            <w:tcBorders>
              <w:top w:val="nil"/>
              <w:left w:val="nil"/>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4259"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基本支出</w:t>
            </w:r>
          </w:p>
        </w:tc>
        <w:tc>
          <w:tcPr>
            <w:tcW w:w="142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c>
          <w:tcPr>
            <w:tcW w:w="1420" w:type="dxa"/>
            <w:vMerge w:val="restart"/>
            <w:tcBorders>
              <w:top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增减额</w:t>
            </w:r>
          </w:p>
        </w:tc>
        <w:tc>
          <w:tcPr>
            <w:tcW w:w="142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增减%</w:t>
            </w:r>
          </w:p>
        </w:tc>
      </w:tr>
      <w:tr>
        <w:tblPrEx>
          <w:tblCellMar>
            <w:top w:w="0" w:type="dxa"/>
            <w:left w:w="108" w:type="dxa"/>
            <w:bottom w:w="0" w:type="dxa"/>
            <w:right w:w="108" w:type="dxa"/>
          </w:tblCellMar>
        </w:tblPrEx>
        <w:trPr>
          <w:trHeight w:val="468" w:hRule="atLeast"/>
        </w:trPr>
        <w:tc>
          <w:tcPr>
            <w:tcW w:w="14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0"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0"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0" w:type="dxa"/>
            <w:vMerge w:val="continue"/>
            <w:tcBorders>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0"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小计</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日常公用经费</w:t>
            </w:r>
          </w:p>
        </w:tc>
        <w:tc>
          <w:tcPr>
            <w:tcW w:w="14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20" w:type="dxa"/>
            <w:vMerge w:val="continue"/>
            <w:tcBorders>
              <w:bottom w:val="single" w:color="auto" w:sz="4" w:space="0"/>
              <w:right w:val="single" w:color="auto" w:sz="4" w:space="0"/>
            </w:tcBorders>
            <w:vAlign w:val="center"/>
          </w:tcPr>
          <w:p>
            <w:pPr>
              <w:widowControl/>
              <w:rPr>
                <w:rFonts w:ascii="宋体" w:hAnsi="宋体" w:cs="宋体"/>
                <w:b/>
                <w:bCs/>
                <w:kern w:val="0"/>
                <w:sz w:val="22"/>
                <w:szCs w:val="22"/>
              </w:rPr>
            </w:pPr>
          </w:p>
        </w:tc>
        <w:tc>
          <w:tcPr>
            <w:tcW w:w="14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510"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556"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563"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570"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564"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558"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r>
        <w:tblPrEx>
          <w:tblCellMar>
            <w:top w:w="0" w:type="dxa"/>
            <w:left w:w="108" w:type="dxa"/>
            <w:bottom w:w="0" w:type="dxa"/>
            <w:right w:w="108" w:type="dxa"/>
          </w:tblCellMar>
        </w:tblPrEx>
        <w:trPr>
          <w:trHeight w:val="554" w:hRule="atLeast"/>
        </w:trPr>
        <w:tc>
          <w:tcPr>
            <w:tcW w:w="14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p>
        </w:tc>
        <w:tc>
          <w:tcPr>
            <w:tcW w:w="1420" w:type="dxa"/>
            <w:tcBorders>
              <w:top w:val="nil"/>
              <w:left w:val="nil"/>
              <w:bottom w:val="single" w:color="auto" w:sz="4" w:space="0"/>
              <w:right w:val="single" w:color="auto" w:sz="4" w:space="0"/>
            </w:tcBorders>
            <w:vAlign w:val="center"/>
          </w:tcPr>
          <w:p>
            <w:pPr>
              <w:jc w:val="right"/>
              <w:rPr>
                <w:rFonts w:ascii="宋体" w:hAnsi="宋体" w:cs="宋体"/>
                <w:kern w:val="0"/>
                <w:sz w:val="20"/>
                <w:szCs w:val="20"/>
              </w:rPr>
            </w:pPr>
            <w:r>
              <w:rPr>
                <w:rFonts w:hint="eastAsia" w:ascii="宋体" w:hAnsi="宋体" w:cs="宋体"/>
                <w:kern w:val="0"/>
                <w:sz w:val="20"/>
                <w:szCs w:val="20"/>
              </w:rPr>
              <w:t>　</w:t>
            </w: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c>
          <w:tcPr>
            <w:tcW w:w="1420" w:type="dxa"/>
            <w:tcBorders>
              <w:top w:val="single" w:color="auto" w:sz="4" w:space="0"/>
              <w:bottom w:val="single" w:color="auto" w:sz="4" w:space="0"/>
              <w:right w:val="single" w:color="auto" w:sz="4" w:space="0"/>
            </w:tcBorders>
          </w:tcPr>
          <w:p>
            <w:pPr>
              <w:widowControl/>
              <w:jc w:val="left"/>
              <w:rPr>
                <w:kern w:val="0"/>
                <w:sz w:val="20"/>
                <w:szCs w:val="20"/>
              </w:rPr>
            </w:pPr>
          </w:p>
        </w:tc>
      </w:tr>
    </w:tbl>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无政府性基金预算财政拨款支出</w:t>
      </w:r>
    </w:p>
    <w:p>
      <w:pPr>
        <w:widowControl/>
        <w:ind w:firstLine="640" w:firstLineChars="200"/>
        <w:outlineLvl w:val="1"/>
        <w:rPr>
          <w:rFonts w:ascii="黑体" w:hAnsi="宋体" w:eastAsia="黑体"/>
          <w:b/>
          <w:kern w:val="0"/>
          <w:sz w:val="32"/>
          <w:szCs w:val="32"/>
        </w:rPr>
      </w:pPr>
      <w:r>
        <w:rPr>
          <w:rFonts w:hint="eastAsia" w:ascii="黑体" w:hAnsi="宋体" w:eastAsia="黑体"/>
          <w:b/>
          <w:kern w:val="0"/>
          <w:sz w:val="32"/>
          <w:szCs w:val="32"/>
        </w:rPr>
        <w:t>七、部门收支预算总表</w:t>
      </w:r>
    </w:p>
    <w:p>
      <w:pPr>
        <w:widowControl/>
        <w:jc w:val="center"/>
        <w:outlineLvl w:val="1"/>
        <w:rPr>
          <w:rFonts w:ascii="仿宋_GB2312" w:hAnsi="宋体" w:eastAsia="仿宋_GB2312"/>
          <w:b/>
          <w:kern w:val="0"/>
          <w:sz w:val="36"/>
          <w:szCs w:val="36"/>
        </w:rPr>
      </w:pPr>
      <w:r>
        <w:rPr>
          <w:rFonts w:hint="eastAsia" w:ascii="仿宋_GB2312" w:hAnsi="宋体" w:eastAsia="仿宋_GB2312"/>
          <w:b/>
          <w:kern w:val="0"/>
          <w:sz w:val="36"/>
          <w:szCs w:val="36"/>
        </w:rPr>
        <w:t>部门收支预算总表</w:t>
      </w:r>
    </w:p>
    <w:p>
      <w:pPr>
        <w:widowControl/>
        <w:jc w:val="right"/>
        <w:outlineLvl w:val="1"/>
        <w:rPr>
          <w:rFonts w:ascii="仿宋_GB2312" w:hAnsi="宋体" w:eastAsia="仿宋_GB2312"/>
          <w:b/>
          <w:kern w:val="0"/>
          <w:sz w:val="36"/>
          <w:szCs w:val="36"/>
        </w:rPr>
      </w:pPr>
      <w:r>
        <w:rPr>
          <w:rFonts w:hint="eastAsia" w:ascii="仿宋_GB2312" w:hAnsi="宋体" w:eastAsia="仿宋_GB2312"/>
          <w:kern w:val="0"/>
          <w:sz w:val="32"/>
          <w:szCs w:val="32"/>
        </w:rPr>
        <w:t xml:space="preserve">     单位：万元</w:t>
      </w:r>
    </w:p>
    <w:tbl>
      <w:tblPr>
        <w:tblStyle w:val="6"/>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241.33</w:t>
            </w:r>
          </w:p>
        </w:tc>
      </w:tr>
    </w:tbl>
    <w:p>
      <w:pPr>
        <w:widowControl/>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w:t>
      </w:r>
    </w:p>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p>
    <w:p>
      <w:pPr>
        <w:widowControl/>
        <w:ind w:firstLine="640" w:firstLineChars="200"/>
        <w:jc w:val="left"/>
        <w:outlineLvl w:val="1"/>
        <w:rPr>
          <w:rFonts w:ascii="黑体" w:hAnsi="宋体" w:eastAsia="黑体"/>
          <w:b/>
          <w:bCs/>
          <w:kern w:val="0"/>
          <w:sz w:val="32"/>
          <w:szCs w:val="32"/>
        </w:rPr>
      </w:pPr>
      <w:r>
        <w:rPr>
          <w:rFonts w:hint="eastAsia" w:ascii="黑体" w:hAnsi="宋体" w:eastAsia="黑体"/>
          <w:b/>
          <w:bCs/>
          <w:kern w:val="0"/>
          <w:sz w:val="32"/>
          <w:szCs w:val="32"/>
        </w:rPr>
        <w:t>八、部门收入总表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部门收入总表</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单位：万元</w:t>
      </w:r>
    </w:p>
    <w:tbl>
      <w:tblPr>
        <w:tblStyle w:val="6"/>
        <w:tblW w:w="13890" w:type="dxa"/>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60" w:type="dxa"/>
            <w:tcBorders>
              <w:top w:val="single" w:color="000000" w:sz="4" w:space="0"/>
              <w:bottom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0"/>
                <w:szCs w:val="20"/>
              </w:rPr>
              <w:t>241.33</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hint="eastAsia" w:ascii="宋体" w:hAnsi="宋体" w:cs="宋体"/>
                <w:color w:val="000000"/>
                <w:kern w:val="0"/>
                <w:sz w:val="20"/>
                <w:szCs w:val="20"/>
              </w:rPr>
              <w:t>241.33</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241.33</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bl>
    <w:p>
      <w:pPr>
        <w:widowControl/>
        <w:ind w:firstLine="627" w:firstLineChars="196"/>
        <w:jc w:val="left"/>
        <w:outlineLvl w:val="1"/>
        <w:rPr>
          <w:rFonts w:ascii="黑体" w:hAnsi="宋体" w:eastAsia="黑体"/>
          <w:b/>
          <w:bCs/>
          <w:kern w:val="0"/>
          <w:sz w:val="32"/>
          <w:szCs w:val="32"/>
        </w:rPr>
      </w:pPr>
      <w:r>
        <w:rPr>
          <w:rFonts w:hint="eastAsia" w:ascii="黑体" w:hAnsi="宋体" w:eastAsia="黑体"/>
          <w:b/>
          <w:bCs/>
          <w:kern w:val="0"/>
          <w:sz w:val="32"/>
          <w:szCs w:val="32"/>
        </w:rPr>
        <w:t>九、部门支出总表</w:t>
      </w:r>
    </w:p>
    <w:p>
      <w:pPr>
        <w:widowControl/>
        <w:jc w:val="center"/>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部门支出总表</w:t>
      </w:r>
    </w:p>
    <w:p>
      <w:pPr>
        <w:rPr>
          <w:szCs w:val="21"/>
        </w:rPr>
      </w:pPr>
      <w:r>
        <w:rPr>
          <w:rFonts w:hint="eastAsia" w:ascii="仿宋_GB2312" w:hAnsi="宋体" w:eastAsia="仿宋_GB2312"/>
          <w:kern w:val="0"/>
          <w:sz w:val="32"/>
          <w:szCs w:val="32"/>
        </w:rPr>
        <w:t xml:space="preserve">                                                                           单位：万元</w:t>
      </w:r>
    </w:p>
    <w:tbl>
      <w:tblPr>
        <w:tblStyle w:val="6"/>
        <w:tblW w:w="13833" w:type="dxa"/>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241.33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241.33</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2013101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140.1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17.25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2080506</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2101103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5.51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2210201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11.17</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2013102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53.5</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kern w:val="0"/>
                <w:sz w:val="22"/>
                <w:szCs w:val="22"/>
              </w:rPr>
            </w:pPr>
          </w:p>
        </w:tc>
      </w:tr>
    </w:tbl>
    <w:p>
      <w:pPr>
        <w:sectPr>
          <w:pgSz w:w="16838" w:h="11906" w:orient="landscape"/>
          <w:pgMar w:top="1701" w:right="1440" w:bottom="1701" w:left="1440" w:header="851" w:footer="992" w:gutter="0"/>
          <w:cols w:space="720" w:num="1"/>
          <w:docGrid w:type="linesAndChars" w:linePitch="312" w:charSpace="0"/>
        </w:sectPr>
      </w:pPr>
    </w:p>
    <w:p>
      <w:pPr>
        <w:widowControl/>
        <w:jc w:val="left"/>
        <w:outlineLvl w:val="1"/>
        <w:rPr>
          <w:rFonts w:ascii="仿宋_GB2312" w:hAnsi="宋体" w:eastAsia="仿宋_GB2312"/>
          <w:b/>
          <w:bCs/>
          <w:kern w:val="0"/>
          <w:sz w:val="36"/>
          <w:szCs w:val="36"/>
        </w:rPr>
      </w:pP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金凤区党办2020年部门预算——部门预算情况说明</w:t>
      </w: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 xml:space="preserve"> </w:t>
      </w:r>
    </w:p>
    <w:p>
      <w:pPr>
        <w:spacing w:line="540" w:lineRule="exact"/>
        <w:ind w:firstLine="643" w:firstLineChars="200"/>
        <w:jc w:val="left"/>
        <w:rPr>
          <w:rFonts w:ascii="黑体" w:eastAsia="黑体" w:cs="宋体"/>
          <w:b/>
          <w:bCs/>
          <w:kern w:val="0"/>
          <w:sz w:val="32"/>
          <w:szCs w:val="32"/>
        </w:rPr>
      </w:pPr>
      <w:r>
        <w:rPr>
          <w:rFonts w:hint="eastAsia" w:ascii="黑体" w:eastAsia="黑体" w:cs="宋体"/>
          <w:b/>
          <w:bCs/>
          <w:kern w:val="0"/>
          <w:sz w:val="32"/>
          <w:szCs w:val="32"/>
        </w:rPr>
        <w:t>一、关于金凤区党委办公室2020年财政拨款收支预算情况的总体说明</w:t>
      </w:r>
    </w:p>
    <w:p>
      <w:pPr>
        <w:spacing w:line="540" w:lineRule="exact"/>
        <w:ind w:firstLine="480"/>
        <w:jc w:val="left"/>
        <w:rPr>
          <w:rFonts w:ascii="仿宋" w:hAnsi="仿宋" w:eastAsia="仿宋" w:cs="宋体"/>
          <w:kern w:val="0"/>
          <w:sz w:val="32"/>
          <w:szCs w:val="32"/>
        </w:rPr>
      </w:pPr>
      <w:r>
        <w:rPr>
          <w:rFonts w:hint="eastAsia" w:ascii="仿宋_GB2312" w:hAnsi="宋体" w:eastAsia="仿宋_GB2312" w:cs="宋体"/>
          <w:kern w:val="0"/>
          <w:sz w:val="32"/>
          <w:szCs w:val="32"/>
        </w:rPr>
        <w:t xml:space="preserve"> </w:t>
      </w:r>
      <w:r>
        <w:rPr>
          <w:rFonts w:hint="eastAsia" w:ascii="仿宋" w:hAnsi="仿宋" w:eastAsia="仿宋" w:cs="宋体"/>
          <w:kern w:val="0"/>
          <w:sz w:val="32"/>
          <w:szCs w:val="32"/>
        </w:rPr>
        <w:t>金凤区党委办公室2020年财政拨款收入预算241.33万元，其中：本年收入241.33万元，包括一般公共预算拨款241.33万元，政府性基金预算拨款0万元；上年结转结余0万元。支出预算241.33万元，包括：一般公共服务支出193.6万元、社会保障和就业支出36.56万元、住房保障支出11.17万元。</w:t>
      </w:r>
    </w:p>
    <w:p>
      <w:pPr>
        <w:spacing w:line="54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二、关于金凤区党委办公室2020年一般公共预算财政拨款支出情况说明</w:t>
      </w:r>
    </w:p>
    <w:p>
      <w:pPr>
        <w:spacing w:line="54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（一）基本支出情况说明</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金凤区党委办公室2020年一般公共预算财政拨款基本支出187.83万元，其中：本年收入安排支出187.83万元，上年结转资金安排支出0万元。比2019年执行数（决算数）减少20.79万元，下降11.07%。其中：</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人员经费162.24万元，主要包括：</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1、基本工资48.56万元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2、津贴补贴40.36万元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3、奖金23.25万元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4、社会保障缴费37.56</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5、退休费0.6而她元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6、生活补助0.74万元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7、住房公积金11.17万元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公用经费25.59万元，主要包括：</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1、办公费4万元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2、劳务费0.64万元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3、工会经费1.64万元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4、公务用车运行维护费9.9万元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5、其他交通费6.34万元</w:t>
      </w:r>
    </w:p>
    <w:p>
      <w:pPr>
        <w:spacing w:line="540" w:lineRule="exact"/>
        <w:ind w:firstLine="480"/>
        <w:jc w:val="left"/>
        <w:rPr>
          <w:rFonts w:hint="eastAsia" w:ascii="仿宋" w:hAnsi="仿宋" w:eastAsia="仿宋" w:cs="宋体"/>
          <w:kern w:val="0"/>
          <w:sz w:val="32"/>
          <w:szCs w:val="32"/>
        </w:rPr>
      </w:pPr>
      <w:r>
        <w:rPr>
          <w:rFonts w:hint="eastAsia" w:ascii="仿宋" w:hAnsi="仿宋" w:eastAsia="仿宋" w:cs="宋体"/>
          <w:kern w:val="0"/>
          <w:sz w:val="32"/>
          <w:szCs w:val="32"/>
        </w:rPr>
        <w:t>6、其他商品和服务支出1.6万元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7、其他商品和服务支出0.72万元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8、劳务费0.72万元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9、其他对个人和家庭的补助支出0.03万元。</w:t>
      </w:r>
    </w:p>
    <w:p>
      <w:pPr>
        <w:spacing w:line="540" w:lineRule="exact"/>
        <w:ind w:firstLine="480"/>
        <w:jc w:val="left"/>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（二）项目支出情况说明</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金凤区党委办公室2020年一般公共预算财政拨款项目支出53.5万元，其中：本年收入安排支出53.5万元，上年结转结余资金安排支出0万元。包括：</w:t>
      </w:r>
      <w:r>
        <w:rPr>
          <w:rFonts w:hint="eastAsia" w:ascii="仿宋" w:hAnsi="仿宋" w:eastAsia="仿宋" w:cs="宋体"/>
          <w:kern w:val="0"/>
          <w:sz w:val="32"/>
          <w:szCs w:val="32"/>
          <w:lang w:val="en-US" w:eastAsia="zh-CN"/>
        </w:rPr>
        <w:t>201</w:t>
      </w:r>
      <w:r>
        <w:rPr>
          <w:rFonts w:hint="eastAsia" w:ascii="仿宋" w:hAnsi="仿宋" w:eastAsia="仿宋"/>
          <w:kern w:val="0"/>
          <w:sz w:val="32"/>
          <w:szCs w:val="32"/>
        </w:rPr>
        <w:t>一般</w:t>
      </w:r>
      <w:r>
        <w:rPr>
          <w:rFonts w:hint="eastAsia" w:ascii="仿宋" w:hAnsi="仿宋" w:eastAsia="仿宋"/>
          <w:kern w:val="0"/>
          <w:sz w:val="32"/>
          <w:szCs w:val="32"/>
          <w:lang w:eastAsia="zh-CN"/>
        </w:rPr>
        <w:t>公共服务支出</w:t>
      </w:r>
      <w:r>
        <w:rPr>
          <w:rFonts w:hint="eastAsia" w:ascii="仿宋" w:hAnsi="仿宋" w:eastAsia="仿宋"/>
          <w:kern w:val="0"/>
          <w:sz w:val="32"/>
          <w:szCs w:val="32"/>
        </w:rPr>
        <w:t>（类）</w:t>
      </w:r>
      <w:r>
        <w:rPr>
          <w:rFonts w:hint="eastAsia" w:ascii="仿宋" w:hAnsi="仿宋" w:eastAsia="仿宋"/>
          <w:kern w:val="0"/>
          <w:sz w:val="32"/>
          <w:szCs w:val="32"/>
          <w:lang w:val="en-US" w:eastAsia="zh-CN"/>
        </w:rPr>
        <w:t>31党委办公厅（室）及相关机构</w:t>
      </w:r>
      <w:r>
        <w:rPr>
          <w:rFonts w:hint="eastAsia" w:ascii="仿宋" w:hAnsi="仿宋" w:eastAsia="仿宋"/>
          <w:kern w:val="0"/>
          <w:sz w:val="32"/>
          <w:szCs w:val="32"/>
        </w:rPr>
        <w:t>事务（款）</w:t>
      </w:r>
      <w:r>
        <w:rPr>
          <w:rFonts w:hint="eastAsia" w:ascii="仿宋" w:hAnsi="仿宋" w:eastAsia="仿宋"/>
          <w:kern w:val="0"/>
          <w:sz w:val="32"/>
          <w:szCs w:val="32"/>
          <w:lang w:val="en-US" w:eastAsia="zh-CN"/>
        </w:rPr>
        <w:t>02</w:t>
      </w:r>
      <w:r>
        <w:rPr>
          <w:rFonts w:hint="eastAsia" w:ascii="仿宋" w:hAnsi="仿宋" w:eastAsia="仿宋"/>
          <w:kern w:val="0"/>
          <w:sz w:val="32"/>
          <w:szCs w:val="32"/>
        </w:rPr>
        <w:t>一般</w:t>
      </w:r>
      <w:r>
        <w:rPr>
          <w:rFonts w:hint="eastAsia" w:ascii="仿宋" w:hAnsi="仿宋" w:eastAsia="仿宋"/>
          <w:kern w:val="0"/>
          <w:sz w:val="32"/>
          <w:szCs w:val="32"/>
          <w:lang w:eastAsia="zh-CN"/>
        </w:rPr>
        <w:t>行政管理事务</w:t>
      </w:r>
      <w:r>
        <w:rPr>
          <w:rFonts w:hint="eastAsia" w:ascii="仿宋" w:hAnsi="仿宋" w:eastAsia="仿宋"/>
          <w:kern w:val="0"/>
          <w:sz w:val="32"/>
          <w:szCs w:val="32"/>
        </w:rPr>
        <w:t>（项）(2013102)2020年预算53.5万元，</w:t>
      </w:r>
      <w:r>
        <w:rPr>
          <w:rFonts w:hint="eastAsia" w:ascii="仿宋" w:hAnsi="仿宋" w:eastAsia="仿宋" w:cs="宋体"/>
          <w:kern w:val="0"/>
          <w:sz w:val="32"/>
          <w:szCs w:val="32"/>
        </w:rPr>
        <w:t>比2019年执行数（决算数）减少3.64万元，降低6.8%。主要用于：</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1、综合工作业务经费20万元，用于订阅报刊、购</w:t>
      </w:r>
      <w:r>
        <w:rPr>
          <w:rFonts w:hint="eastAsia" w:ascii="仿宋" w:hAnsi="仿宋" w:eastAsia="仿宋" w:cs="宋体"/>
          <w:kern w:val="0"/>
          <w:sz w:val="32"/>
          <w:szCs w:val="32"/>
          <w:lang w:eastAsia="zh-CN"/>
        </w:rPr>
        <w:t>买</w:t>
      </w:r>
      <w:r>
        <w:rPr>
          <w:rFonts w:hint="eastAsia" w:ascii="仿宋" w:hAnsi="仿宋" w:eastAsia="仿宋" w:cs="宋体"/>
          <w:kern w:val="0"/>
          <w:sz w:val="32"/>
          <w:szCs w:val="32"/>
        </w:rPr>
        <w:t>办公用品及其他费用的支出；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2、保密、安全工作经费2.5万元，用于涉及以上工作的支出；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3、各类会议费3万元，用于会议费用的支出；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4、出差培训费8万元，用于领导出差考察、招商及工作人员外出培训等费用的支出；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5、公务接待费1万元，用于领导出差考察、招商及外来考察人员招待费用的支出；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6、购置费3万元，用于购置办公室所需用品的支出；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7、调研、督查工作经费1万元，用于党委领导及党委办公室调研及督查工作经费的支出；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8、金凤区绩效考核工作经费1万元，用于对金凤区各部门进行绩效考核工作经费的支出；</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9党内法规制度建设和党务公开工作经费1万元，用于对金凤区党内法规制度建设和党务公开工作经费的支出。</w:t>
      </w:r>
    </w:p>
    <w:p>
      <w:pPr>
        <w:spacing w:line="540" w:lineRule="exact"/>
        <w:ind w:firstLine="482" w:firstLineChars="150"/>
        <w:jc w:val="left"/>
        <w:rPr>
          <w:rFonts w:ascii="黑体" w:hAnsi="宋体" w:eastAsia="黑体" w:cs="宋体"/>
          <w:b/>
          <w:bCs/>
          <w:kern w:val="0"/>
          <w:sz w:val="32"/>
          <w:szCs w:val="32"/>
        </w:rPr>
      </w:pPr>
      <w:r>
        <w:rPr>
          <w:rFonts w:hint="eastAsia" w:ascii="黑体" w:hAnsi="宋体" w:eastAsia="黑体" w:cs="宋体"/>
          <w:b/>
          <w:bCs/>
          <w:kern w:val="0"/>
          <w:sz w:val="32"/>
          <w:szCs w:val="32"/>
        </w:rPr>
        <w:t>三、关于金凤区党委办公室2020年一般公共预算财政拨款“三公”经费预算情况说明</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金凤区党委办公室2020年“三公”经费财政拨款预算数为10.9万元，其中：因公出国（境）费0万元，公务用车购置0万元，公务用车运行费9.9万元，公务接待费1万元。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2020年“三公”经费财政拨款预算比2019年减少1万元，其中：因公出国（境）费无增减；公务用车购置费无增减；公务用车运行费无增减；公务接待费减少1万元，主要原因压缩三公经费。</w:t>
      </w:r>
    </w:p>
    <w:p>
      <w:pPr>
        <w:spacing w:line="54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四、关于金凤区党委办公室2020年政府性基金预算拨款情况说明</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金凤区党委办公室2020年无政府性基金预算拨款。</w:t>
      </w:r>
    </w:p>
    <w:p>
      <w:pPr>
        <w:spacing w:line="540" w:lineRule="exact"/>
        <w:ind w:firstLine="643" w:firstLineChars="200"/>
        <w:jc w:val="left"/>
        <w:rPr>
          <w:rFonts w:ascii="黑体" w:hAnsi="宋体" w:eastAsia="黑体" w:cs="宋体"/>
          <w:b/>
          <w:bCs/>
          <w:kern w:val="0"/>
          <w:sz w:val="32"/>
          <w:szCs w:val="32"/>
        </w:rPr>
      </w:pPr>
      <w:r>
        <w:rPr>
          <w:rFonts w:hint="eastAsia" w:ascii="黑体" w:hAnsi="宋体" w:eastAsia="黑体" w:cs="宋体"/>
          <w:b/>
          <w:bCs/>
          <w:kern w:val="0"/>
          <w:sz w:val="32"/>
          <w:szCs w:val="32"/>
        </w:rPr>
        <w:t>五、关于金凤区党委办公室2020年收支预算情况的总体说明</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金凤区党委办公室2020年收入总预算241.33万元，其中：本年收入241.33万元，上年结转结余0万元；支出总预算241.33万元，其中：本年支出241.33万元，年末结转结余0万元。</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本年收入包括：财政拨款预算收入241.33万元，占100%。</w:t>
      </w:r>
    </w:p>
    <w:p>
      <w:pP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本年支出包括：行政支出241.33万元，占100%。</w:t>
      </w:r>
    </w:p>
    <w:p>
      <w:pPr>
        <w:spacing w:line="540" w:lineRule="exact"/>
        <w:ind w:firstLine="480"/>
        <w:jc w:val="left"/>
        <w:rPr>
          <w:rFonts w:ascii="黑体" w:hAnsi="宋体" w:eastAsia="黑体" w:cs="宋体"/>
          <w:b/>
          <w:bCs/>
          <w:kern w:val="0"/>
          <w:sz w:val="32"/>
          <w:szCs w:val="32"/>
        </w:rPr>
      </w:pPr>
      <w:r>
        <w:rPr>
          <w:rFonts w:hint="eastAsia" w:ascii="黑体" w:hAnsi="宋体" w:eastAsia="黑体" w:cs="宋体"/>
          <w:b/>
          <w:bCs/>
          <w:kern w:val="0"/>
          <w:sz w:val="32"/>
          <w:szCs w:val="32"/>
        </w:rPr>
        <w:t>六、其他重要事项的情况说明</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（一）机关运行经费</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2020年，金凤区党委办公室本级行政单位的机关运行经费财政拨款预算25.59万元，比2019年预算增加0.6万元，增长2.34%。主要原因是：人员增加</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（二）政府采购情况</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2020年，金凤区党委办公室政府采购预算3万元，其中：政府采购货物预算2万元，政府采购服务预算1万元。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（三）国有资产占用使用情况</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截至2019年12月31日，金凤区党委办公室占用使用国有资产总体情况为车辆4辆，价值29.16万元；办公家具价值9.29万元；其他资产价值74.35万元。</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（四）预算绩效情况</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2020年金凤区党委办公室重点项目绩效评价：项目资金可以保障单位日常工作顺利开展、提高效率，从而完成目标责任。</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（五）其他需</w:t>
      </w:r>
      <w:r>
        <w:rPr>
          <w:rFonts w:hint="eastAsia" w:ascii="仿宋" w:hAnsi="仿宋" w:eastAsia="仿宋" w:cs="宋体"/>
          <w:kern w:val="0"/>
          <w:sz w:val="32"/>
          <w:szCs w:val="32"/>
          <w:lang w:eastAsia="zh-CN"/>
        </w:rPr>
        <w:t>要</w:t>
      </w:r>
      <w:r>
        <w:rPr>
          <w:rFonts w:hint="eastAsia" w:ascii="仿宋" w:hAnsi="仿宋" w:eastAsia="仿宋" w:cs="宋体"/>
          <w:kern w:val="0"/>
          <w:sz w:val="32"/>
          <w:szCs w:val="32"/>
        </w:rPr>
        <w:t>说明的事项</w:t>
      </w:r>
    </w:p>
    <w:p>
      <w:pPr>
        <w:spacing w:line="54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无</w:t>
      </w:r>
      <w:bookmarkStart w:id="0" w:name="_GoBack"/>
      <w:bookmarkEnd w:id="0"/>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jc w:val="left"/>
        <w:outlineLvl w:val="1"/>
        <w:rPr>
          <w:rFonts w:ascii="仿宋_GB2312" w:hAnsi="宋体" w:eastAsia="仿宋_GB2312"/>
          <w:b/>
          <w:bCs/>
          <w:kern w:val="0"/>
          <w:sz w:val="36"/>
          <w:szCs w:val="36"/>
        </w:rPr>
      </w:pPr>
    </w:p>
    <w:p>
      <w:pPr>
        <w:widowControl/>
        <w:jc w:val="left"/>
        <w:outlineLvl w:val="1"/>
        <w:rPr>
          <w:rFonts w:ascii="仿宋_GB2312" w:hAnsi="宋体" w:eastAsia="仿宋_GB2312"/>
          <w:b/>
          <w:bCs/>
          <w:kern w:val="0"/>
          <w:sz w:val="36"/>
          <w:szCs w:val="36"/>
        </w:rPr>
      </w:pPr>
      <w:r>
        <w:rPr>
          <w:rFonts w:hint="eastAsia" w:ascii="仿宋_GB2312" w:hAnsi="宋体" w:eastAsia="仿宋_GB2312"/>
          <w:b/>
          <w:bCs/>
          <w:kern w:val="0"/>
          <w:sz w:val="36"/>
          <w:szCs w:val="36"/>
        </w:rPr>
        <w:t>金凤区党委办公室2020年部门预算——名词解释</w:t>
      </w:r>
    </w:p>
    <w:p>
      <w:pPr>
        <w:spacing w:line="580" w:lineRule="exact"/>
        <w:jc w:val="left"/>
        <w:outlineLvl w:val="1"/>
        <w:rPr>
          <w:rFonts w:ascii="仿宋" w:hAnsi="仿宋" w:eastAsia="仿宋" w:cs="宋体"/>
          <w:kern w:val="0"/>
          <w:sz w:val="32"/>
          <w:szCs w:val="32"/>
        </w:rPr>
      </w:pPr>
    </w:p>
    <w:p>
      <w:pPr>
        <w:spacing w:line="580" w:lineRule="exact"/>
        <w:jc w:val="left"/>
        <w:outlineLvl w:val="1"/>
        <w:rPr>
          <w:rFonts w:ascii="仿宋_GB2312" w:hAnsi="宋体" w:eastAsia="仿宋_GB2312"/>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一、支出功能分类科目编码、名称</w:t>
      </w:r>
      <w:r>
        <w:rPr>
          <w:rFonts w:hint="eastAsia" w:ascii="仿宋" w:hAnsi="仿宋" w:eastAsia="仿宋" w:cs="宋体"/>
          <w:kern w:val="0"/>
          <w:sz w:val="32"/>
          <w:szCs w:val="32"/>
        </w:rPr>
        <w:t>：按照《2020年政府收支分类科目》“类”、“款”、“项”的编码和名称填列</w:t>
      </w:r>
      <w:r>
        <w:rPr>
          <w:rFonts w:hint="eastAsia" w:ascii="宋体" w:hAnsi="宋体" w:eastAsia="仿宋" w:cs="宋体"/>
          <w:kern w:val="0"/>
          <w:sz w:val="32"/>
          <w:szCs w:val="32"/>
        </w:rPr>
        <w:t>。</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二、年初结转和结余</w:t>
      </w:r>
      <w:r>
        <w:rPr>
          <w:rFonts w:hint="eastAsia" w:ascii="仿宋" w:hAnsi="仿宋" w:eastAsia="仿宋" w:cs="宋体"/>
          <w:kern w:val="0"/>
          <w:sz w:val="32"/>
          <w:szCs w:val="32"/>
        </w:rPr>
        <w:t>：是指单位上年结转本年使用的基本支出结转、项目支出结转和结余和经营结余。</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三、基本支出结转</w:t>
      </w:r>
      <w:r>
        <w:rPr>
          <w:rFonts w:hint="eastAsia" w:ascii="仿宋" w:hAnsi="仿宋" w:eastAsia="仿宋" w:cs="宋体"/>
          <w:kern w:val="0"/>
          <w:sz w:val="32"/>
          <w:szCs w:val="32"/>
        </w:rPr>
        <w:t>：是指单位基本支出收支相抵后结转本年使用的累计余额，包括事业单位未转入事业基金的基本支出结转。</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四、项目支出结转和结余</w:t>
      </w:r>
      <w:r>
        <w:rPr>
          <w:rFonts w:hint="eastAsia" w:ascii="仿宋" w:hAnsi="仿宋" w:eastAsia="仿宋" w:cs="宋体"/>
          <w:kern w:val="0"/>
          <w:sz w:val="32"/>
          <w:szCs w:val="32"/>
        </w:rPr>
        <w:t>：是指单位从财政部门或上级单位等取得，需要结转本年继续使用的项目支出收支累计余额。</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五</w:t>
      </w:r>
      <w:r>
        <w:rPr>
          <w:rFonts w:hint="eastAsia" w:ascii="仿宋" w:hAnsi="仿宋" w:eastAsia="仿宋" w:cs="宋体"/>
          <w:b/>
          <w:bCs/>
          <w:kern w:val="0"/>
          <w:sz w:val="32"/>
          <w:szCs w:val="32"/>
        </w:rPr>
        <w:t>、本年收入</w:t>
      </w:r>
      <w:r>
        <w:rPr>
          <w:rFonts w:hint="eastAsia" w:ascii="仿宋" w:hAnsi="仿宋" w:eastAsia="仿宋" w:cs="宋体"/>
          <w:kern w:val="0"/>
          <w:sz w:val="32"/>
          <w:szCs w:val="32"/>
        </w:rPr>
        <w:t>：是指单位本年度取得的全部收入。</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六、本年支出</w:t>
      </w:r>
      <w:r>
        <w:rPr>
          <w:rFonts w:hint="eastAsia" w:ascii="仿宋" w:hAnsi="仿宋" w:eastAsia="仿宋" w:cs="宋体"/>
          <w:kern w:val="0"/>
          <w:sz w:val="32"/>
          <w:szCs w:val="32"/>
        </w:rPr>
        <w:t>：是指单位本年度全部支出。</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七、结余分配</w:t>
      </w:r>
      <w:r>
        <w:rPr>
          <w:rFonts w:hint="eastAsia" w:ascii="仿宋" w:hAnsi="仿宋" w:eastAsia="仿宋" w:cs="宋体"/>
          <w:kern w:val="0"/>
          <w:sz w:val="32"/>
          <w:szCs w:val="32"/>
        </w:rPr>
        <w:t>：是指单位当年结余的分配情况。</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八、年末结转和结余</w:t>
      </w:r>
      <w:r>
        <w:rPr>
          <w:rFonts w:hint="eastAsia" w:ascii="仿宋" w:hAnsi="仿宋" w:eastAsia="仿宋" w:cs="宋体"/>
          <w:kern w:val="0"/>
          <w:sz w:val="32"/>
          <w:szCs w:val="32"/>
        </w:rPr>
        <w:t>：是指单位结转下年的基本支出结转、项目支出结转和结余和经营结余。</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九、财政拨款收入</w:t>
      </w:r>
      <w:r>
        <w:rPr>
          <w:rFonts w:hint="eastAsia" w:ascii="仿宋" w:hAnsi="仿宋" w:eastAsia="仿宋" w:cs="宋体"/>
          <w:kern w:val="0"/>
          <w:sz w:val="32"/>
          <w:szCs w:val="32"/>
        </w:rPr>
        <w:t>：是指单位本年度从本级财政部门取得的财政拨款，包括一般公共预算财政拨款和政府性基金预算财政拨款。</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十、其他收入</w:t>
      </w:r>
      <w:r>
        <w:rPr>
          <w:rFonts w:hint="eastAsia" w:ascii="仿宋" w:hAnsi="仿宋" w:eastAsia="仿宋" w:cs="宋体"/>
          <w:kern w:val="0"/>
          <w:sz w:val="32"/>
          <w:szCs w:val="32"/>
        </w:rPr>
        <w:t>：是指单位取得的除“财政拨款收入”、“事业收入”、“经营收入”等以外的各项收入。</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十一、基本支出</w:t>
      </w:r>
      <w:r>
        <w:rPr>
          <w:rFonts w:hint="eastAsia" w:ascii="仿宋" w:hAnsi="仿宋" w:eastAsia="仿宋" w:cs="宋体"/>
          <w:kern w:val="0"/>
          <w:sz w:val="32"/>
          <w:szCs w:val="32"/>
        </w:rPr>
        <w:t>：是指单位为保障机构正常运转、完成日常工作任务而发生的各项支出。</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十二、项目支出</w:t>
      </w:r>
      <w:r>
        <w:rPr>
          <w:rFonts w:hint="eastAsia" w:ascii="仿宋" w:hAnsi="仿宋" w:eastAsia="仿宋" w:cs="宋体"/>
          <w:kern w:val="0"/>
          <w:sz w:val="32"/>
          <w:szCs w:val="32"/>
        </w:rPr>
        <w:t>：是指单位为完成特定的行政工作任务或事业发展目标，在基本支出之外发生的各项支出。</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十三、人员经费</w:t>
      </w:r>
      <w:r>
        <w:rPr>
          <w:rFonts w:hint="eastAsia" w:ascii="仿宋" w:hAnsi="仿宋" w:eastAsia="仿宋" w:cs="宋体"/>
          <w:kern w:val="0"/>
          <w:sz w:val="32"/>
          <w:szCs w:val="32"/>
        </w:rPr>
        <w:t>：是指单位基本支出中用一般公共预算财政拨款安排的“工资福利支出”和“对个人和家庭的补助”。</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十四、日常公用经费</w:t>
      </w:r>
      <w:r>
        <w:rPr>
          <w:rFonts w:hint="eastAsia" w:ascii="仿宋" w:hAnsi="仿宋" w:eastAsia="仿宋" w:cs="宋体"/>
          <w:kern w:val="0"/>
          <w:sz w:val="32"/>
          <w:szCs w:val="32"/>
        </w:rPr>
        <w:t>：是指单位用一般公共预算财政拨款安排的除人员经费以外的基本支出。</w:t>
      </w:r>
      <w:r>
        <w:rPr>
          <w:rFonts w:hint="eastAsia" w:ascii="宋体" w:hAnsi="宋体" w:eastAsia="仿宋" w:cs="宋体"/>
          <w:kern w:val="0"/>
          <w:sz w:val="32"/>
          <w:szCs w:val="32"/>
        </w:rPr>
        <w:t> </w:t>
      </w: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b/>
          <w:bCs/>
          <w:kern w:val="0"/>
          <w:sz w:val="32"/>
          <w:szCs w:val="32"/>
        </w:rPr>
        <w:t>十五、“三公”经费</w:t>
      </w:r>
      <w:r>
        <w:rPr>
          <w:rFonts w:hint="eastAsia" w:ascii="仿宋" w:hAnsi="仿宋" w:eastAsia="仿宋" w:cs="宋体"/>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宋体" w:hAnsi="宋体" w:eastAsia="仿宋" w:cs="宋体"/>
          <w:kern w:val="0"/>
          <w:sz w:val="32"/>
          <w:szCs w:val="32"/>
        </w:rPr>
        <w:t> </w:t>
      </w:r>
    </w:p>
    <w:p>
      <w:pPr>
        <w:spacing w:line="580" w:lineRule="exact"/>
        <w:ind w:firstLine="645"/>
        <w:jc w:val="left"/>
        <w:rPr>
          <w:rFonts w:ascii="仿宋" w:hAnsi="仿宋" w:eastAsia="仿宋" w:cs="宋体"/>
          <w:bCs/>
          <w:kern w:val="0"/>
          <w:sz w:val="32"/>
          <w:szCs w:val="32"/>
        </w:rPr>
      </w:pPr>
      <w:r>
        <w:rPr>
          <w:rFonts w:hint="eastAsia" w:ascii="仿宋" w:hAnsi="仿宋" w:eastAsia="仿宋" w:cs="宋体"/>
          <w:b/>
          <w:bCs/>
          <w:kern w:val="0"/>
          <w:sz w:val="32"/>
          <w:szCs w:val="32"/>
        </w:rPr>
        <w:t>十六、机关运行经费：</w:t>
      </w:r>
      <w:r>
        <w:rPr>
          <w:rFonts w:hint="eastAsia" w:ascii="仿宋" w:hAnsi="仿宋" w:eastAsia="仿宋" w:cs="宋体"/>
          <w:bCs/>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01"/>
    <w:rsid w:val="000057A8"/>
    <w:rsid w:val="000145BA"/>
    <w:rsid w:val="00043F07"/>
    <w:rsid w:val="00063B65"/>
    <w:rsid w:val="0006670E"/>
    <w:rsid w:val="000831C0"/>
    <w:rsid w:val="000858CD"/>
    <w:rsid w:val="00095461"/>
    <w:rsid w:val="000C001D"/>
    <w:rsid w:val="000C42AF"/>
    <w:rsid w:val="000C72A0"/>
    <w:rsid w:val="000D7B37"/>
    <w:rsid w:val="00135137"/>
    <w:rsid w:val="0013519B"/>
    <w:rsid w:val="0015526B"/>
    <w:rsid w:val="00187986"/>
    <w:rsid w:val="001A5F33"/>
    <w:rsid w:val="001A68AF"/>
    <w:rsid w:val="001B3655"/>
    <w:rsid w:val="001C1D11"/>
    <w:rsid w:val="001E2B95"/>
    <w:rsid w:val="002116D1"/>
    <w:rsid w:val="0022537E"/>
    <w:rsid w:val="0023640E"/>
    <w:rsid w:val="00243C40"/>
    <w:rsid w:val="002962CD"/>
    <w:rsid w:val="002C4BD6"/>
    <w:rsid w:val="002E78B6"/>
    <w:rsid w:val="002F53FA"/>
    <w:rsid w:val="00322E88"/>
    <w:rsid w:val="003379A6"/>
    <w:rsid w:val="0035076A"/>
    <w:rsid w:val="00370CA0"/>
    <w:rsid w:val="00372CF5"/>
    <w:rsid w:val="00375123"/>
    <w:rsid w:val="003A44E5"/>
    <w:rsid w:val="003B5F79"/>
    <w:rsid w:val="003B7FA2"/>
    <w:rsid w:val="003F169E"/>
    <w:rsid w:val="00423519"/>
    <w:rsid w:val="004379C6"/>
    <w:rsid w:val="00447276"/>
    <w:rsid w:val="004656F2"/>
    <w:rsid w:val="004725D4"/>
    <w:rsid w:val="0048280C"/>
    <w:rsid w:val="00484DD2"/>
    <w:rsid w:val="004858B2"/>
    <w:rsid w:val="004B2681"/>
    <w:rsid w:val="004E506D"/>
    <w:rsid w:val="0051381D"/>
    <w:rsid w:val="00565B9A"/>
    <w:rsid w:val="00571B0D"/>
    <w:rsid w:val="00584EA6"/>
    <w:rsid w:val="00593B82"/>
    <w:rsid w:val="005A4605"/>
    <w:rsid w:val="005C3E29"/>
    <w:rsid w:val="005D72B9"/>
    <w:rsid w:val="005E4A5E"/>
    <w:rsid w:val="005E514F"/>
    <w:rsid w:val="006005FB"/>
    <w:rsid w:val="006010CF"/>
    <w:rsid w:val="00616416"/>
    <w:rsid w:val="0062119E"/>
    <w:rsid w:val="00627DAC"/>
    <w:rsid w:val="00636E24"/>
    <w:rsid w:val="0063712A"/>
    <w:rsid w:val="00673569"/>
    <w:rsid w:val="00683EA6"/>
    <w:rsid w:val="006C056F"/>
    <w:rsid w:val="006C5B18"/>
    <w:rsid w:val="006C5E08"/>
    <w:rsid w:val="006C65F2"/>
    <w:rsid w:val="007331DE"/>
    <w:rsid w:val="00797C6A"/>
    <w:rsid w:val="007A2546"/>
    <w:rsid w:val="007D524C"/>
    <w:rsid w:val="007E5001"/>
    <w:rsid w:val="00806D8F"/>
    <w:rsid w:val="00847B55"/>
    <w:rsid w:val="0087546C"/>
    <w:rsid w:val="00884136"/>
    <w:rsid w:val="00892C9B"/>
    <w:rsid w:val="008C415B"/>
    <w:rsid w:val="00926C87"/>
    <w:rsid w:val="0094353B"/>
    <w:rsid w:val="00943B74"/>
    <w:rsid w:val="00955E13"/>
    <w:rsid w:val="00970673"/>
    <w:rsid w:val="009B4BBC"/>
    <w:rsid w:val="009C5522"/>
    <w:rsid w:val="009F1323"/>
    <w:rsid w:val="009F2742"/>
    <w:rsid w:val="00A04D0E"/>
    <w:rsid w:val="00A16743"/>
    <w:rsid w:val="00A24808"/>
    <w:rsid w:val="00A27798"/>
    <w:rsid w:val="00A72DC8"/>
    <w:rsid w:val="00AB3815"/>
    <w:rsid w:val="00AC24ED"/>
    <w:rsid w:val="00AC3127"/>
    <w:rsid w:val="00AC560B"/>
    <w:rsid w:val="00AD7672"/>
    <w:rsid w:val="00AE341C"/>
    <w:rsid w:val="00B21F95"/>
    <w:rsid w:val="00B272E9"/>
    <w:rsid w:val="00B70EFD"/>
    <w:rsid w:val="00BF3EE9"/>
    <w:rsid w:val="00C05188"/>
    <w:rsid w:val="00C46E09"/>
    <w:rsid w:val="00C53A1E"/>
    <w:rsid w:val="00C54A32"/>
    <w:rsid w:val="00C74201"/>
    <w:rsid w:val="00CA0B80"/>
    <w:rsid w:val="00CE7FCB"/>
    <w:rsid w:val="00CF4C56"/>
    <w:rsid w:val="00D058A4"/>
    <w:rsid w:val="00D61F97"/>
    <w:rsid w:val="00D62C7C"/>
    <w:rsid w:val="00D66148"/>
    <w:rsid w:val="00D77DE1"/>
    <w:rsid w:val="00D83586"/>
    <w:rsid w:val="00D953BC"/>
    <w:rsid w:val="00DA2209"/>
    <w:rsid w:val="00DA2C8F"/>
    <w:rsid w:val="00DB1945"/>
    <w:rsid w:val="00DD4CD2"/>
    <w:rsid w:val="00DD5905"/>
    <w:rsid w:val="00E0407D"/>
    <w:rsid w:val="00E21502"/>
    <w:rsid w:val="00E2653C"/>
    <w:rsid w:val="00E3307D"/>
    <w:rsid w:val="00E55CF9"/>
    <w:rsid w:val="00E82D24"/>
    <w:rsid w:val="00EB04E5"/>
    <w:rsid w:val="00EB3277"/>
    <w:rsid w:val="00EC055C"/>
    <w:rsid w:val="00ED10DD"/>
    <w:rsid w:val="00F601C5"/>
    <w:rsid w:val="00F832C0"/>
    <w:rsid w:val="00FB2A8B"/>
    <w:rsid w:val="010C1548"/>
    <w:rsid w:val="0EFE1138"/>
    <w:rsid w:val="10A81499"/>
    <w:rsid w:val="4EC76B8A"/>
    <w:rsid w:val="4F406D0E"/>
    <w:rsid w:val="6EDF81DB"/>
    <w:rsid w:val="778F2AB2"/>
    <w:rsid w:val="7EFEFABB"/>
    <w:rsid w:val="7F5FB19C"/>
    <w:rsid w:val="8FEC3474"/>
    <w:rsid w:val="BFD9968B"/>
    <w:rsid w:val="D466E916"/>
    <w:rsid w:val="DBDF9EAC"/>
    <w:rsid w:val="EBFD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0"/>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rFonts w:cs="Times New Roman"/>
      <w:b/>
      <w:bCs/>
    </w:rPr>
  </w:style>
  <w:style w:type="character" w:styleId="9">
    <w:name w:val="page number"/>
    <w:basedOn w:val="7"/>
    <w:qFormat/>
    <w:uiPriority w:val="0"/>
  </w:style>
  <w:style w:type="character" w:customStyle="1" w:styleId="10">
    <w:name w:val="页眉 Char"/>
    <w:basedOn w:val="7"/>
    <w:link w:val="4"/>
    <w:qFormat/>
    <w:uiPriority w:val="0"/>
    <w:rPr>
      <w:sz w:val="18"/>
      <w:szCs w:val="18"/>
    </w:rPr>
  </w:style>
  <w:style w:type="character" w:customStyle="1" w:styleId="11">
    <w:name w:val="页脚 Char"/>
    <w:basedOn w:val="7"/>
    <w:link w:val="3"/>
    <w:qFormat/>
    <w:uiPriority w:val="0"/>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7"/>
    <w:link w:val="2"/>
    <w:semiHidden/>
    <w:qFormat/>
    <w:uiPriority w:val="0"/>
    <w:rPr>
      <w:rFonts w:ascii="Times New Roman" w:hAnsi="Times New Roman" w:eastAsia="宋体" w:cs="Times New Roman"/>
      <w:sz w:val="18"/>
      <w:szCs w:val="18"/>
    </w:rPr>
  </w:style>
  <w:style w:type="paragraph" w:customStyle="1" w:styleId="14">
    <w:name w:val="Char"/>
    <w:basedOn w:val="1"/>
    <w:qFormat/>
    <w:uiPriority w:val="0"/>
    <w:pPr>
      <w:spacing w:line="360" w:lineRule="auto"/>
      <w:ind w:firstLine="200" w:firstLineChars="200"/>
    </w:pPr>
    <w:rPr>
      <w:rFonts w:ascii="宋体" w:hAnsi="宋体" w:cs="宋体"/>
      <w:sz w:val="24"/>
      <w:szCs w:val="20"/>
    </w:rPr>
  </w:style>
  <w:style w:type="character" w:customStyle="1" w:styleId="15">
    <w:name w:val="font21"/>
    <w:basedOn w:val="7"/>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1572</Words>
  <Characters>8967</Characters>
  <Lines>74</Lines>
  <Paragraphs>21</Paragraphs>
  <TotalTime>3</TotalTime>
  <ScaleCrop>false</ScaleCrop>
  <LinksUpToDate>false</LinksUpToDate>
  <CharactersWithSpaces>10518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2020-02-15T14:30:00Z</dcterms:created>
  <dc:creator>User</dc:creator>
  <cp:lastModifiedBy>kylin</cp:lastModifiedBy>
  <cp:lastPrinted>2018-01-19T14:09:00Z</cp:lastPrinted>
  <dcterms:modified xsi:type="dcterms:W3CDTF">2022-10-27T16:06:43Z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