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2023年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金凤区丰登镇人民政府</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度部门决算表</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度部门决算情况说明</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eastAsia" w:ascii="黑体" w:hAnsi="黑体" w:eastAsia="黑体"/>
          <w:kern w:val="0"/>
          <w:sz w:val="32"/>
          <w:szCs w:val="32"/>
          <w:lang w:eastAsia="zh-CN"/>
        </w:rPr>
      </w:pPr>
      <w:r>
        <w:rPr>
          <w:rFonts w:hint="eastAsia" w:ascii="黑体" w:hAnsi="黑体" w:eastAsia="黑体"/>
          <w:kern w:val="0"/>
          <w:sz w:val="32"/>
          <w:szCs w:val="32"/>
          <w:lang w:eastAsia="zh-CN"/>
        </w:rPr>
        <w:t>九、国有资本经营预算财政拨款支出情况说明</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金凤区丰登镇位于银川市行政中心以北</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公里处，全镇总面积34.3平方公里，辖7个行政村65个村民小组，常住人口1.9万人，共有党员</w:t>
      </w:r>
      <w:r>
        <w:rPr>
          <w:rFonts w:hint="eastAsia" w:ascii="仿宋_GB2312" w:hAnsi="仿宋_GB2312" w:eastAsia="仿宋_GB2312" w:cs="仿宋_GB2312"/>
          <w:color w:val="000000"/>
          <w:sz w:val="32"/>
          <w:szCs w:val="32"/>
          <w:highlight w:val="none"/>
        </w:rPr>
        <w:t>6</w:t>
      </w:r>
      <w:r>
        <w:rPr>
          <w:rFonts w:hint="eastAsia" w:ascii="仿宋_GB2312" w:hAnsi="仿宋_GB2312" w:eastAsia="仿宋_GB2312" w:cs="仿宋_GB2312"/>
          <w:color w:val="000000"/>
          <w:sz w:val="32"/>
          <w:szCs w:val="32"/>
          <w:highlight w:val="none"/>
          <w:lang w:val="en-US" w:eastAsia="zh-CN"/>
        </w:rPr>
        <w:t>90</w:t>
      </w:r>
      <w:r>
        <w:rPr>
          <w:rFonts w:hint="eastAsia" w:ascii="仿宋_GB2312" w:hAnsi="仿宋_GB2312" w:eastAsia="仿宋_GB2312" w:cs="仿宋_GB2312"/>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（1）执行政策。</w:t>
      </w:r>
      <w:r>
        <w:rPr>
          <w:rFonts w:hint="eastAsia" w:ascii="仿宋_GB2312" w:hAnsi="仿宋_GB2312" w:eastAsia="仿宋_GB2312" w:cs="仿宋_GB2312"/>
          <w:color w:val="000000"/>
          <w:sz w:val="32"/>
          <w:szCs w:val="32"/>
        </w:rPr>
        <w:t>认真贯彻落实党和国家在农村的各项方针政策、各项法律法规，落实支农惠农的各项政策措施，保障和维护农民的合法权益，促进农村基层政权建设和民主法制建设，巩固党在农村的执政基础。加强工会工作；社会治安综合治理；安全生产监管；农村党风廉政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（2）发展经济。</w:t>
      </w:r>
      <w:r>
        <w:rPr>
          <w:rFonts w:hint="eastAsia" w:ascii="仿宋_GB2312" w:hAnsi="仿宋_GB2312" w:eastAsia="仿宋_GB2312" w:cs="仿宋_GB2312"/>
          <w:color w:val="000000"/>
          <w:sz w:val="32"/>
          <w:szCs w:val="32"/>
        </w:rPr>
        <w:t>围绕统筹城乡发展，巩固畜牧产</w:t>
      </w:r>
      <w:r>
        <w:rPr>
          <w:rFonts w:hint="eastAsia" w:ascii="仿宋_GB2312" w:hAnsi="仿宋_GB2312" w:eastAsia="仿宋_GB2312" w:cs="仿宋_GB2312"/>
          <w:color w:val="000000"/>
          <w:spacing w:val="-4"/>
          <w:sz w:val="32"/>
          <w:szCs w:val="32"/>
        </w:rPr>
        <w:t>业，做强适水产业，发展第三产业，拓宽就业，加快集镇建设总目标</w:t>
      </w:r>
      <w:r>
        <w:rPr>
          <w:rFonts w:hint="eastAsia" w:ascii="仿宋_GB2312" w:hAnsi="仿宋_GB2312" w:eastAsia="仿宋_GB2312" w:cs="仿宋_GB2312"/>
          <w:color w:val="000000"/>
          <w:sz w:val="32"/>
          <w:szCs w:val="32"/>
        </w:rPr>
        <w:t>，制定并组织实施好镇村经济发展和新农村建设规划；科学确定农业结构调整方向，引导组织农民发展现代农业，培育壮大优势特色产业，培植产业化经营的龙头企业，优化和调整农村经济结构，推进农业产业化发展；培育各种形式的农民专业合作经济组织，为农民提供市场信息、先进技术、优良品种、农副产品销售等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（3）发展公共事业。</w:t>
      </w:r>
      <w:r>
        <w:rPr>
          <w:rFonts w:hint="eastAsia" w:ascii="仿宋_GB2312" w:hAnsi="仿宋_GB2312" w:eastAsia="仿宋_GB2312" w:cs="仿宋_GB2312"/>
          <w:color w:val="000000"/>
          <w:sz w:val="32"/>
          <w:szCs w:val="32"/>
        </w:rPr>
        <w:t>根据乡村建设规划、集镇建设、集贸市场管理；农村互助资金管理；农村土地承包经营权流转；搞好乡村基础设施建设和服务体系建设；加快推进全镇公共教育、公共卫生、公共文化等方面的建设；负责组织农村劳务输出、技能培训、就业等工作。做好计划生育工作；开展救灾济困、五保户供养制度建设等社会保障的相关工作；推进新农村信息化建设。国家惠农资金财政补贴发放和管理；全民创业；流动人口计划生育管理及服务；新农村信息化建设；新型农村合作医疗、农村养老保险等。</w:t>
      </w:r>
    </w:p>
    <w:p>
      <w:pPr>
        <w:widowControl/>
        <w:spacing w:line="560" w:lineRule="exact"/>
        <w:ind w:firstLine="643" w:firstLineChars="200"/>
        <w:jc w:val="left"/>
        <w:rPr>
          <w:rFonts w:eastAsia="仿宋_GB2312"/>
          <w:bCs/>
          <w:kern w:val="0"/>
          <w:sz w:val="32"/>
          <w:szCs w:val="32"/>
        </w:rPr>
      </w:pPr>
      <w:r>
        <w:rPr>
          <w:rFonts w:hint="eastAsia" w:ascii="仿宋_GB2312" w:hAnsi="仿宋_GB2312" w:eastAsia="仿宋_GB2312" w:cs="仿宋_GB2312"/>
          <w:b/>
          <w:color w:val="000000"/>
          <w:sz w:val="32"/>
          <w:szCs w:val="32"/>
        </w:rPr>
        <w:t>（4）负责农村社会管理，维护农村社会稳定。</w:t>
      </w:r>
      <w:r>
        <w:rPr>
          <w:rFonts w:hint="eastAsia" w:ascii="仿宋_GB2312" w:hAnsi="仿宋_GB2312" w:eastAsia="仿宋_GB2312" w:cs="仿宋_GB2312"/>
          <w:color w:val="000000"/>
          <w:sz w:val="32"/>
          <w:szCs w:val="32"/>
        </w:rPr>
        <w:t>进一步发展和完善村民自治制度，加强基层精神文明和民主法制建设，提高农民思想道德科学文化和健康素质，加强和改进镇党委、政府对村级党组织和村民委员会的领导和指导，增强社会自治功能；综合发挥人民调解、行政调解和司法调解的作用，建立健全各种应急机制和矛盾纠纷调解机制，推进依法行政，严格依法履行职责维护农村社会稳定。</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从预算单位构成看，金凤区丰登镇人民政府部门预算包括：金凤区丰登镇人民政府本级预算。没有下属二级行政单位及所属事业单位。</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b/>
                <w:bCs/>
                <w:color w:val="000000"/>
                <w:kern w:val="0"/>
                <w:sz w:val="32"/>
                <w:szCs w:val="32"/>
              </w:rPr>
            </w:pPr>
            <w:r>
              <w:rPr>
                <w:rFonts w:hint="default"/>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eastAsia="宋体"/>
                <w:color w:val="000000"/>
                <w:kern w:val="0"/>
                <w:sz w:val="20"/>
                <w:lang w:val="en-US" w:eastAsia="zh-CN"/>
              </w:rPr>
            </w:pPr>
            <w:r>
              <w:rPr>
                <w:rFonts w:hint="default"/>
                <w:color w:val="000000"/>
                <w:kern w:val="0"/>
                <w:sz w:val="24"/>
              </w:rPr>
              <w:t>公开部门：</w:t>
            </w:r>
            <w:r>
              <w:rPr>
                <w:rFonts w:hint="eastAsia"/>
                <w:color w:val="000000"/>
                <w:kern w:val="0"/>
                <w:sz w:val="24"/>
                <w:lang w:val="en-US" w:eastAsia="zh-CN"/>
              </w:rPr>
              <w:t>银川市金凤区丰登镇人民政府</w:t>
            </w:r>
          </w:p>
        </w:tc>
        <w:tc>
          <w:tcPr>
            <w:tcW w:w="6755" w:type="dxa"/>
            <w:gridSpan w:val="3"/>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default"/>
                <w:color w:val="000000"/>
                <w:kern w:val="0"/>
                <w:sz w:val="24"/>
              </w:rPr>
              <w:t>公开01表</w:t>
            </w:r>
            <w:r>
              <w:rPr>
                <w:rFonts w:hint="eastAsia"/>
                <w:color w:val="000000"/>
                <w:kern w:val="0"/>
                <w:sz w:val="24"/>
              </w:rPr>
              <w:t>（</w:t>
            </w:r>
            <w:r>
              <w:rPr>
                <w:rFonts w:hint="default"/>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default"/>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default"/>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color w:val="000000"/>
                <w:kern w:val="0"/>
                <w:sz w:val="18"/>
                <w:szCs w:val="18"/>
                <w:lang w:val="en-US" w:eastAsia="zh-CN"/>
              </w:rPr>
              <w:t>决算数</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rPr>
            </w:pPr>
          </w:p>
        </w:tc>
        <w:tc>
          <w:tcPr>
            <w:tcW w:w="216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rPr>
            </w:pPr>
          </w:p>
        </w:tc>
        <w:tc>
          <w:tcPr>
            <w:tcW w:w="2129"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default"/>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64,078,036.70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21,876,262.82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9,788,077.27</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color w:val="000000"/>
                <w:kern w:val="0"/>
                <w:sz w:val="18"/>
                <w:szCs w:val="18"/>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7"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2,762.00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720,123.00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5,949,586.41</w:t>
            </w: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1,948,849.03</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861,927.28</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11,037,903.90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15,918,876.86</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26,952,396.42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785,400.40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215,246.00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79,815,700.38</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80,319,747.71</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3,838,836.53</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83,654,536.91</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80,319,747.71</w:t>
            </w:r>
          </w:p>
        </w:tc>
      </w:tr>
      <w:tr>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2023年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default"/>
                <w:color w:val="000000"/>
                <w:kern w:val="0"/>
                <w:sz w:val="24"/>
              </w:rPr>
              <w:t>公开</w:t>
            </w:r>
            <w:r>
              <w:rPr>
                <w:rFonts w:hint="eastAsia"/>
                <w:color w:val="000000"/>
                <w:kern w:val="0"/>
                <w:sz w:val="24"/>
              </w:rPr>
              <w:t>02</w:t>
            </w:r>
            <w:r>
              <w:rPr>
                <w:rFonts w:hint="default"/>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2"/>
              </w:rPr>
            </w:pPr>
            <w:r>
              <w:rPr>
                <w:rFonts w:hint="default"/>
                <w:color w:val="000000"/>
                <w:kern w:val="0"/>
                <w:sz w:val="24"/>
              </w:rPr>
              <w:t>公开部门：</w:t>
            </w:r>
            <w:r>
              <w:rPr>
                <w:rFonts w:hint="eastAsia"/>
                <w:color w:val="000000"/>
                <w:kern w:val="0"/>
                <w:sz w:val="24"/>
                <w:lang w:val="en-US" w:eastAsia="zh-CN"/>
              </w:rPr>
              <w:t>银川市金凤区丰登镇人民政府</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default"/>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r>
              <w:rPr>
                <w:rFonts w:hint="eastAsia" w:ascii="宋体" w:hAnsi="宋体" w:cs="宋体"/>
                <w:color w:val="000000"/>
                <w:kern w:val="0"/>
                <w:sz w:val="22"/>
              </w:rPr>
              <w:t>其中：</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79,815,700.38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73,866,113.97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5,949,586.41</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征地和拆迁补偿支出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165,825.40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165,825.40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其他发展与改革事务支出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4,860.00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4,860.00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56,618.00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56,618.00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其他卫生健康管理事务支出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41,600.00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41,600.00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2013816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食品安全监管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10,468.00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10,468.00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2080107</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社会保险业务管理事务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5,500.00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5,500.00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其他宣传事务支出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其他农业农村支出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2080208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基层政权建设和社区治理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91,248.00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91,248.00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2210105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农村危房改造</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30,000.00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2010508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统计抽样调查</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12,470.00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12,470.00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其他组织事务支出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797,279.2</w:t>
            </w:r>
            <w:r>
              <w:rPr>
                <w:rFonts w:hint="eastAsia" w:ascii="宋体" w:hAnsi="宋体" w:cs="宋体"/>
                <w:i w:val="0"/>
                <w:iCs w:val="0"/>
                <w:color w:val="000000"/>
                <w:kern w:val="0"/>
                <w:sz w:val="22"/>
                <w:szCs w:val="22"/>
                <w:u w:val="none"/>
                <w:lang w:val="en-US" w:eastAsia="zh-CN" w:bidi="ar"/>
              </w:rPr>
              <w:t>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607,279.20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对村级公益事业建设的补助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2,325,339.24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2,325,339.24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农业生产发展</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6,819,423.78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6,819,423.78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2110301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大气</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2,888,739.90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2,888,739.90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60,000.00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其他城乡社区公共设施支出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20,000.00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农村社会事业</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生产发展</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6,974,616.23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6,974,616.23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2013402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21,474.6</w:t>
            </w:r>
            <w:r>
              <w:rPr>
                <w:rFonts w:hint="eastAsia" w:ascii="宋体" w:hAnsi="宋体" w:cs="宋体"/>
                <w:i w:val="0"/>
                <w:iCs w:val="0"/>
                <w:color w:val="000000"/>
                <w:kern w:val="0"/>
                <w:sz w:val="22"/>
                <w:szCs w:val="22"/>
                <w:u w:val="none"/>
                <w:lang w:val="en-US" w:eastAsia="zh-CN" w:bidi="ar"/>
              </w:rPr>
              <w:t>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11,474.60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1,635,685</w:t>
            </w:r>
            <w:r>
              <w:rPr>
                <w:rFonts w:hint="eastAsia" w:ascii="宋体" w:hAnsi="宋体" w:cs="宋体"/>
                <w:i w:val="0"/>
                <w:iCs w:val="0"/>
                <w:color w:val="000000"/>
                <w:kern w:val="0"/>
                <w:sz w:val="22"/>
                <w:szCs w:val="22"/>
                <w:u w:val="none"/>
                <w:lang w:val="en-US" w:eastAsia="zh-CN" w:bidi="ar"/>
              </w:rPr>
              <w:t>.00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1,509,685.00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126,000.00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color w:val="000000"/>
                <w:sz w:val="22"/>
                <w:szCs w:val="24"/>
              </w:rPr>
              <w:t>49,700.00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49,700.00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619,575.00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619,575.00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其他国有土地使用权出让收入安排的支出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379,449.27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2082001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临时救助支出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191,280.69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191,280.69</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684,368.75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684,368.75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农村合作经济</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5,000.00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其他城乡社区管理事务支出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6,0</w:t>
            </w:r>
            <w:r>
              <w:rPr>
                <w:rFonts w:hint="eastAsia" w:ascii="宋体" w:hAnsi="宋体" w:cs="宋体"/>
                <w:color w:val="000000"/>
                <w:kern w:val="2"/>
                <w:sz w:val="22"/>
                <w:szCs w:val="22"/>
                <w:lang w:val="en-US" w:eastAsia="zh-CN" w:bidi="ar"/>
              </w:rPr>
              <w:t>82</w:t>
            </w:r>
            <w:r>
              <w:rPr>
                <w:rFonts w:hint="eastAsia" w:ascii="宋体" w:hAnsi="宋体" w:eastAsia="宋体" w:cs="宋体"/>
                <w:color w:val="000000"/>
                <w:kern w:val="2"/>
                <w:sz w:val="22"/>
                <w:szCs w:val="22"/>
                <w:lang w:val="en-US" w:eastAsia="zh-CN" w:bidi="ar"/>
              </w:rPr>
              <w:t>,275.69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6,004,275.69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78,000.00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2296002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用于社会福利的彩票公益金支出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8,628.00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8,628.00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324,034.36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324,034.36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其他人力资源和社会保障管理事务支出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32,466.73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32,466.73</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272,078.92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272,078.92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2100410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突发公共卫生事件应急处理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43</w:t>
            </w:r>
            <w:r>
              <w:rPr>
                <w:rFonts w:hint="eastAsia" w:ascii="宋体" w:hAnsi="宋体"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w:t>
            </w:r>
            <w:r>
              <w:rPr>
                <w:rFonts w:hint="eastAsia" w:ascii="宋体" w:hAnsi="宋体"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53.63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430,053.63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2012902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2</w:t>
            </w:r>
            <w:r>
              <w:rPr>
                <w:rFonts w:hint="eastAsia" w:ascii="宋体" w:hAnsi="宋体" w:cs="宋体"/>
                <w:color w:val="000000"/>
                <w:kern w:val="2"/>
                <w:sz w:val="22"/>
                <w:szCs w:val="22"/>
                <w:lang w:val="en-US" w:eastAsia="zh-CN" w:bidi="ar"/>
              </w:rPr>
              <w:t>6</w:t>
            </w:r>
            <w:r>
              <w:rPr>
                <w:rFonts w:hint="eastAsia" w:ascii="宋体" w:hAnsi="宋体" w:eastAsia="宋体" w:cs="宋体"/>
                <w:color w:val="000000"/>
                <w:kern w:val="2"/>
                <w:sz w:val="22"/>
                <w:szCs w:val="22"/>
                <w:lang w:val="en-US" w:eastAsia="zh-CN" w:bidi="ar"/>
              </w:rPr>
              <w:t>,000.00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其他节能环保支出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8,142,084.00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8,142,084.00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2010108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代表工作</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50,000.00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其他巩固脱贫攻坚成果衔接乡村振兴支出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3,944,997.89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3,944,997.89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2069999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其他科学技术支出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180,000.00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180,000.00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2070199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其他文化和旅游支出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宋体"/>
                <w:color w:val="000000"/>
                <w:kern w:val="2"/>
                <w:sz w:val="22"/>
                <w:szCs w:val="22"/>
                <w:lang w:val="en-US" w:eastAsia="zh-CN" w:bidi="ar"/>
              </w:rPr>
              <w:t>835</w:t>
            </w:r>
            <w:r>
              <w:rPr>
                <w:rFonts w:hint="eastAsia" w:ascii="宋体" w:hAnsi="宋体" w:eastAsia="宋体" w:cs="宋体"/>
                <w:color w:val="000000"/>
                <w:kern w:val="2"/>
                <w:sz w:val="22"/>
                <w:szCs w:val="22"/>
                <w:lang w:val="en-US" w:eastAsia="zh-CN" w:bidi="ar"/>
              </w:rPr>
              <w:t>,000.00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635,000.00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7,799,600.22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7,799,600.22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339,046.34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339,046.34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2082899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其他退役军人事务管理支出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16,400.00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16,400.00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对村民委员会和村党支部的补助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4,781,464.00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4,781,464.00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2040299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其他公安支出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2,762.00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2,762.00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2080705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公益性岗位补贴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olor w:val="000000"/>
                <w:sz w:val="22"/>
                <w:szCs w:val="24"/>
              </w:rPr>
              <w:t>2,904.00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2,904.00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1,670,670.34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1,670,670.34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其他政府办公厅（室）及相关机构事务支出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8,956,952.78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5,414,704.99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3,542,247.79</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374,893.34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374,893.34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113,767.08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113,767.08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2080299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其他民政管理事务支出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122,000.00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122,000.00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信访事务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45,000.00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45,000.00</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sz w:val="22"/>
              </w:rPr>
              <w:t>注：本表反映部门本年度取得的各项收入情况，数据取自财决03表</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2"/>
              </w:rPr>
            </w:pPr>
          </w:p>
        </w:tc>
      </w:tr>
    </w:tbl>
    <w:p>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center"/>
              <w:rPr>
                <w:rFonts w:hint="default"/>
                <w:color w:val="000000"/>
                <w:kern w:val="0"/>
                <w:sz w:val="44"/>
                <w:szCs w:val="44"/>
              </w:rPr>
            </w:pPr>
            <w:r>
              <w:rPr>
                <w:rFonts w:hint="default"/>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4"/>
              </w:rPr>
            </w:pPr>
            <w:r>
              <w:rPr>
                <w:rFonts w:hint="default"/>
                <w:color w:val="000000"/>
                <w:kern w:val="0"/>
                <w:sz w:val="24"/>
              </w:rPr>
              <w:t>公开部门：</w:t>
            </w:r>
            <w:r>
              <w:rPr>
                <w:rFonts w:hint="eastAsia"/>
                <w:color w:val="000000"/>
                <w:kern w:val="0"/>
                <w:sz w:val="24"/>
                <w:lang w:val="en-US" w:eastAsia="zh-CN"/>
              </w:rPr>
              <w:t>银川市金凤区丰登镇人民政府</w:t>
            </w:r>
          </w:p>
        </w:tc>
        <w:tc>
          <w:tcPr>
            <w:tcW w:w="1896" w:type="dxa"/>
            <w:tcBorders>
              <w:top w:val="nil"/>
              <w:left w:val="nil"/>
              <w:bottom w:val="single" w:color="000000" w:sz="8" w:space="0"/>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0"/>
              </w:rPr>
            </w:pPr>
          </w:p>
        </w:tc>
        <w:tc>
          <w:tcPr>
            <w:tcW w:w="1149" w:type="dxa"/>
            <w:tcBorders>
              <w:top w:val="nil"/>
              <w:left w:val="nil"/>
              <w:bottom w:val="single" w:color="000000" w:sz="8" w:space="0"/>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0"/>
              </w:rPr>
            </w:pPr>
          </w:p>
        </w:tc>
        <w:tc>
          <w:tcPr>
            <w:tcW w:w="1111" w:type="dxa"/>
            <w:tcBorders>
              <w:top w:val="nil"/>
              <w:left w:val="nil"/>
              <w:bottom w:val="single" w:color="000000" w:sz="8" w:space="0"/>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0"/>
              </w:rPr>
            </w:pPr>
            <w:r>
              <w:rPr>
                <w:rFonts w:hint="default"/>
                <w:color w:val="000000"/>
                <w:kern w:val="0"/>
                <w:sz w:val="18"/>
                <w:szCs w:val="18"/>
              </w:rPr>
              <w:t>公开03表</w:t>
            </w:r>
          </w:p>
        </w:tc>
        <w:tc>
          <w:tcPr>
            <w:tcW w:w="1654" w:type="dxa"/>
            <w:tcBorders>
              <w:top w:val="nil"/>
              <w:left w:val="nil"/>
              <w:bottom w:val="single" w:color="000000" w:sz="8" w:space="0"/>
              <w:right w:val="nil"/>
            </w:tcBorders>
            <w:vAlign w:val="bottom"/>
          </w:tcPr>
          <w:p>
            <w:pPr>
              <w:keepNext w:val="0"/>
              <w:keepLines w:val="0"/>
              <w:widowControl/>
              <w:suppressLineNumbers w:val="0"/>
              <w:spacing w:before="0" w:beforeAutospacing="0" w:after="0" w:afterAutospacing="0"/>
              <w:ind w:left="0" w:right="0"/>
              <w:jc w:val="right"/>
              <w:rPr>
                <w:rFonts w:hint="default"/>
                <w:color w:val="000000"/>
                <w:kern w:val="0"/>
                <w:sz w:val="18"/>
                <w:szCs w:val="18"/>
              </w:rPr>
            </w:pPr>
            <w:r>
              <w:rPr>
                <w:rFonts w:hint="default"/>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合计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80,319,747.71</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15,187,587.05</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65,132,160.66</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90"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2210203</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购房补贴</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165,825.40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165,825.40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行政单位离退休</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339,046.34</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339,046.34</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2101103</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公务员医疗补助</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113,767.08</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113,767.08</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行政单位医疗</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272,078.92</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272,078.92</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2130705</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对村民委员会和村党支部的补助</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4,781,464.00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4,781,464.00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住房公积金</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619,575.00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619,575.00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2080506</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机关事业单位职业年金缴费支出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374,893.34</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374,893.34</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行政运行</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7,799,600.22</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7,799,600.22</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2080505</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684,368.75</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684,368.75</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2010101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行政运行</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36,968.00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36,968.00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其他巩固脱贫攻坚成果衔接乡村振兴支出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3,949,797.89</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3,949,797.89</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2130111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统计监测与信息服务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其他农业农村支出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1,008,340.00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1,008,340.00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2080208</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基层政权建设和社区治理</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90,773.00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90,773.00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2010108</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代表工作</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57,230.37</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57,230.37</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2013816</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食品安全监管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10,468.00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10,468.00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2010107</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人大代表履职能力提升</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2010508</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统计抽样调查</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18,600.00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18,600.00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2010308</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信访事务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2080299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其他民政管理事务支出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103,363.60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103,363.60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1,670,670.34</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1,670,670.34</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其他组织事务支出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522,444.25</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522,444.25</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2120199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其他城乡社区管理事务支出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6,082,275.69</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6,082,275.69</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2013499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其他统战事务支出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17,070.00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17,070.00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2100410</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突发公共卫生事件应急处理</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432,153.63</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432,153.63</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2130126</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农村社会事业</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农业生产发展</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7,594,693.78</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7,594,693.78</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2130124</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农村合作经济</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2080799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其他就业补助支出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2082102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农村特困人员救助供养支出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征地和拆迁补偿支出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324,034.36</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324,034.36</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2296002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用于社会福利的彩票公益金支出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158,628.00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158,628.00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其他政府办公厅（室）及相关机构事务支出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8,950,200.58</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8,950,200.58</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2040299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其他公安支出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2,762.00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2,762.00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2240106</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安全监管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2080701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就业创业服务补贴</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3,138.00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3,138.00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2082899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其他退役军人事务管理支出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其他国有土地使用权出让收入安排的支出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2012902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27,185.00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27,185.00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其他宣传事务支出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723,986.00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723,986.00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2130505</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生产发展</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6,974,616.23</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6,974,616.23</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2100199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其他卫生健康管理事务支出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43,927.65</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43,927.65</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2130507</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贷款奖补和贴息</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49,145.28</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49,145.28</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2070199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其他文化和旅游支出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720,123.00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720,123.00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对村级公益事业建设的补助</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2,325,339.24</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2,325,339.24</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2110301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大气</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2,892,359.90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2,892,359.90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2119999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其他节能环保支出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8,142,084.00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8,142,084.00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2082001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临时救助支出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345,000.00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345,000.00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2110302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水体</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3,460.00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3,460.00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2120501</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城乡社区环境卫生</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57,151.90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57,151.90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2011308</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招商引资</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2,810.00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2,810.00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2013402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14,042.70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14,042.70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2010499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其他发展与改革事务支出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4,860.00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4,860.00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2010299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其他政协事务支出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5,008.00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2013202</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1,635,685.00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1,635,685.00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2299999</w:t>
            </w:r>
          </w:p>
        </w:tc>
        <w:tc>
          <w:tcPr>
            <w:tcW w:w="3908"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其他支出</w:t>
            </w:r>
          </w:p>
        </w:tc>
        <w:tc>
          <w:tcPr>
            <w:tcW w:w="193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56,618.00</w:t>
            </w:r>
          </w:p>
        </w:tc>
        <w:tc>
          <w:tcPr>
            <w:tcW w:w="1822"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89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56,618.00</w:t>
            </w:r>
          </w:p>
        </w:tc>
        <w:tc>
          <w:tcPr>
            <w:tcW w:w="114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111"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keepNext w:val="0"/>
              <w:keepLines w:val="0"/>
              <w:widowControl/>
              <w:suppressLineNumbers w:val="0"/>
              <w:spacing w:before="0" w:beforeAutospacing="0" w:after="0" w:afterAutospacing="0"/>
              <w:ind w:left="0" w:right="0"/>
              <w:jc w:val="left"/>
              <w:rPr>
                <w:rFonts w:hint="default"/>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717"/>
        <w:gridCol w:w="3112"/>
        <w:gridCol w:w="518"/>
        <w:gridCol w:w="1473"/>
        <w:gridCol w:w="1336"/>
        <w:gridCol w:w="1415"/>
        <w:gridCol w:w="153"/>
        <w:gridCol w:w="1567"/>
      </w:tblGrid>
      <w:tr>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center"/>
              <w:textAlignment w:val="bottom"/>
              <w:rPr>
                <w:rFonts w:hint="default"/>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keepNext w:val="0"/>
              <w:keepLines w:val="0"/>
              <w:suppressLineNumbers w:val="0"/>
              <w:spacing w:before="0" w:beforeAutospacing="0" w:after="0" w:afterAutospacing="0"/>
              <w:ind w:left="0" w:right="0"/>
              <w:jc w:val="left"/>
              <w:rPr>
                <w:rFonts w:hint="default"/>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银川市金凤区丰登镇人民政府</w:t>
            </w:r>
          </w:p>
        </w:tc>
        <w:tc>
          <w:tcPr>
            <w:tcW w:w="518" w:type="dxa"/>
            <w:tcBorders>
              <w:top w:val="nil"/>
              <w:left w:val="nil"/>
              <w:bottom w:val="nil"/>
              <w:right w:val="nil"/>
            </w:tcBorders>
            <w:vAlign w:val="bottom"/>
          </w:tcPr>
          <w:p>
            <w:pPr>
              <w:keepNext w:val="0"/>
              <w:keepLines w:val="0"/>
              <w:suppressLineNumbers w:val="0"/>
              <w:spacing w:before="0" w:beforeAutospacing="0" w:after="0" w:afterAutospacing="0"/>
              <w:ind w:left="0" w:right="0"/>
              <w:rPr>
                <w:rFonts w:hint="default"/>
                <w:color w:val="000000"/>
                <w:kern w:val="0"/>
                <w:sz w:val="18"/>
                <w:szCs w:val="18"/>
              </w:rPr>
            </w:pPr>
          </w:p>
        </w:tc>
        <w:tc>
          <w:tcPr>
            <w:tcW w:w="1473" w:type="dxa"/>
            <w:tcBorders>
              <w:top w:val="nil"/>
              <w:left w:val="nil"/>
              <w:bottom w:val="nil"/>
              <w:right w:val="nil"/>
            </w:tcBorders>
            <w:vAlign w:val="bottom"/>
          </w:tcPr>
          <w:p>
            <w:pPr>
              <w:keepNext w:val="0"/>
              <w:keepLines w:val="0"/>
              <w:suppressLineNumbers w:val="0"/>
              <w:spacing w:before="0" w:beforeAutospacing="0" w:after="0" w:afterAutospacing="0"/>
              <w:ind w:left="0" w:right="0"/>
              <w:rPr>
                <w:rFonts w:hint="default"/>
              </w:rPr>
            </w:pPr>
          </w:p>
        </w:tc>
        <w:tc>
          <w:tcPr>
            <w:tcW w:w="1336" w:type="dxa"/>
            <w:tcBorders>
              <w:top w:val="nil"/>
              <w:left w:val="nil"/>
              <w:bottom w:val="nil"/>
              <w:right w:val="nil"/>
            </w:tcBorders>
            <w:vAlign w:val="bottom"/>
          </w:tcPr>
          <w:p>
            <w:pPr>
              <w:keepNext w:val="0"/>
              <w:keepLines w:val="0"/>
              <w:suppressLineNumbers w:val="0"/>
              <w:spacing w:before="0" w:beforeAutospacing="0" w:after="0" w:afterAutospacing="0"/>
              <w:ind w:left="0" w:right="0"/>
              <w:jc w:val="center"/>
              <w:rPr>
                <w:rFonts w:hint="default"/>
                <w:color w:val="000000"/>
                <w:kern w:val="0"/>
                <w:sz w:val="18"/>
                <w:szCs w:val="18"/>
              </w:rPr>
            </w:pPr>
          </w:p>
        </w:tc>
        <w:tc>
          <w:tcPr>
            <w:tcW w:w="1415" w:type="dxa"/>
            <w:tcBorders>
              <w:top w:val="nil"/>
              <w:left w:val="nil"/>
              <w:bottom w:val="nil"/>
              <w:right w:val="nil"/>
            </w:tcBorders>
            <w:vAlign w:val="bottom"/>
          </w:tcPr>
          <w:p>
            <w:pPr>
              <w:keepNext w:val="0"/>
              <w:keepLines w:val="0"/>
              <w:suppressLineNumbers w:val="0"/>
              <w:spacing w:before="0" w:beforeAutospacing="0" w:after="0" w:afterAutospacing="0"/>
              <w:ind w:left="0" w:right="0"/>
              <w:rPr>
                <w:rFonts w:hint="default"/>
              </w:rPr>
            </w:pPr>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textAlignment w:val="bottom"/>
              <w:rPr>
                <w:rFonts w:hint="default"/>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5246"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收     入</w:t>
            </w:r>
          </w:p>
        </w:tc>
        <w:tc>
          <w:tcPr>
            <w:tcW w:w="9574"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行次</w:t>
            </w:r>
          </w:p>
        </w:tc>
        <w:tc>
          <w:tcPr>
            <w:tcW w:w="1717" w:type="dxa"/>
            <w:vMerge w:val="restart"/>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决算数</w:t>
            </w:r>
          </w:p>
        </w:tc>
        <w:tc>
          <w:tcPr>
            <w:tcW w:w="311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sz w:val="16"/>
                <w:szCs w:val="16"/>
              </w:rPr>
            </w:pPr>
          </w:p>
        </w:tc>
        <w:tc>
          <w:tcPr>
            <w:tcW w:w="1717" w:type="dxa"/>
            <w:vMerge w:val="continue"/>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vMerge w:val="continue"/>
            <w:tcBorders>
              <w:top w:val="nil"/>
              <w:left w:val="nil"/>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center"/>
              <w:rPr>
                <w:rFonts w:hint="default"/>
                <w:sz w:val="16"/>
                <w:szCs w:val="16"/>
              </w:rPr>
            </w:pPr>
          </w:p>
        </w:tc>
        <w:tc>
          <w:tcPr>
            <w:tcW w:w="1717"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64,078,036.70</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cs="宋体"/>
                <w:color w:val="000000"/>
                <w:kern w:val="0"/>
                <w:sz w:val="20"/>
                <w:szCs w:val="20"/>
              </w:rPr>
              <w:t>30</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9,199,624.39</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9,199,624.39</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9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9,788,077.27</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6</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7</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1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8</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1,501,170.00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1,501,170.00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9</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705,367.00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705,367.00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10</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11</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12</w:t>
            </w:r>
          </w:p>
        </w:tc>
        <w:tc>
          <w:tcPr>
            <w:tcW w:w="1717" w:type="dxa"/>
            <w:tcBorders>
              <w:top w:val="nil"/>
              <w:left w:val="single" w:color="000000" w:sz="8"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auto"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4,928,765.12</w:t>
            </w:r>
          </w:p>
        </w:tc>
        <w:tc>
          <w:tcPr>
            <w:tcW w:w="1336"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4,928,765.12</w:t>
            </w:r>
          </w:p>
        </w:tc>
        <w:tc>
          <w:tcPr>
            <w:tcW w:w="1568"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13</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14</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15</w:t>
            </w:r>
          </w:p>
        </w:tc>
        <w:tc>
          <w:tcPr>
            <w:tcW w:w="1717"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16</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17</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18</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19</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717,626.07</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717,626.07</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20</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21</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22</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ind w:left="0" w:right="0"/>
              <w:jc w:val="left"/>
              <w:rPr>
                <w:rFonts w:hint="default"/>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23</w:t>
            </w:r>
          </w:p>
        </w:tc>
        <w:tc>
          <w:tcPr>
            <w:tcW w:w="171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16"/>
                <w:szCs w:val="16"/>
              </w:rPr>
            </w:pP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24</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73,866,113.97</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25</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26</w:t>
            </w:r>
          </w:p>
        </w:tc>
        <w:tc>
          <w:tcPr>
            <w:tcW w:w="1717" w:type="dxa"/>
            <w:tcBorders>
              <w:top w:val="nil"/>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3112" w:type="dxa"/>
            <w:tcBorders>
              <w:top w:val="nil"/>
              <w:left w:val="nil"/>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336"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8"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27</w:t>
            </w:r>
          </w:p>
        </w:tc>
        <w:tc>
          <w:tcPr>
            <w:tcW w:w="1717" w:type="dxa"/>
            <w:tcBorders>
              <w:top w:val="nil"/>
              <w:left w:val="single" w:color="000000" w:sz="8"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3112" w:type="dxa"/>
            <w:tcBorders>
              <w:top w:val="nil"/>
              <w:left w:val="nil"/>
              <w:bottom w:val="single" w:color="auto"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17,052,552.58</w:t>
            </w:r>
          </w:p>
        </w:tc>
        <w:tc>
          <w:tcPr>
            <w:tcW w:w="1336"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17,052,552.58</w:t>
            </w:r>
          </w:p>
        </w:tc>
        <w:tc>
          <w:tcPr>
            <w:tcW w:w="1568"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717" w:type="dxa"/>
            <w:tcBorders>
              <w:top w:val="nil"/>
              <w:left w:val="single" w:color="000000" w:sz="8"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3112" w:type="dxa"/>
            <w:tcBorders>
              <w:top w:val="nil"/>
              <w:left w:val="nil"/>
              <w:bottom w:val="single" w:color="auto" w:sz="4" w:space="0"/>
              <w:right w:val="single" w:color="000000"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left"/>
              <w:textAlignment w:val="center"/>
              <w:rPr>
                <w:rFonts w:hint="default"/>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73,866,113.97</w:t>
            </w:r>
          </w:p>
        </w:tc>
        <w:tc>
          <w:tcPr>
            <w:tcW w:w="311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keepNext w:val="0"/>
              <w:keepLines w:val="0"/>
              <w:widowControl/>
              <w:suppressLineNumbers w:val="0"/>
              <w:spacing w:before="0" w:beforeAutospacing="0" w:after="0" w:afterAutospacing="0"/>
              <w:ind w:left="0" w:right="0"/>
              <w:jc w:val="center"/>
              <w:textAlignment w:val="center"/>
              <w:rPr>
                <w:rFonts w:hint="default"/>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17,052,552.58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17,052,552.58</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center"/>
              <w:rPr>
                <w:rFonts w:hint="default"/>
                <w:color w:val="000000"/>
                <w:kern w:val="0"/>
                <w:sz w:val="44"/>
                <w:szCs w:val="44"/>
              </w:rPr>
            </w:pPr>
            <w:r>
              <w:rPr>
                <w:rFonts w:hint="default"/>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default"/>
                <w:color w:val="000000"/>
                <w:kern w:val="0"/>
                <w:sz w:val="24"/>
              </w:rPr>
              <w:t>公开05表</w:t>
            </w:r>
          </w:p>
        </w:tc>
      </w:tr>
      <w:tr>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0"/>
              </w:rPr>
            </w:pPr>
            <w:r>
              <w:rPr>
                <w:rFonts w:hint="default"/>
                <w:color w:val="000000"/>
                <w:kern w:val="0"/>
                <w:sz w:val="24"/>
              </w:rPr>
              <w:t>公开部门：</w:t>
            </w:r>
            <w:r>
              <w:rPr>
                <w:rFonts w:hint="eastAsia"/>
                <w:color w:val="000000"/>
                <w:kern w:val="0"/>
                <w:sz w:val="24"/>
                <w:lang w:val="en-US" w:eastAsia="zh-CN"/>
              </w:rPr>
              <w:t>银川市金凤区丰登镇人民政府</w:t>
            </w:r>
          </w:p>
        </w:tc>
        <w:tc>
          <w:tcPr>
            <w:tcW w:w="3059"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center"/>
              <w:rPr>
                <w:rFonts w:hint="default"/>
                <w:color w:val="000000"/>
                <w:kern w:val="0"/>
                <w:sz w:val="24"/>
              </w:rPr>
            </w:pPr>
          </w:p>
        </w:tc>
        <w:tc>
          <w:tcPr>
            <w:tcW w:w="2980"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default"/>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项</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栏次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1</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2</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合计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64,078,036.70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15,150,619.05</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ascii="宋体" w:hAnsi="宋体"/>
                <w:color w:val="000000"/>
                <w:sz w:val="22"/>
                <w:szCs w:val="24"/>
                <w:lang w:val="en-US" w:eastAsia="zh-CN"/>
              </w:rPr>
              <w:t>48,927,417.65</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2299999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56,618.00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56,618.00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其他政府办公厅（室）及相关机构事务支出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5,414,704.99</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5,414,704.99</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行政单位医疗</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272,078.92</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272,078.92</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其他农业农村支出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2080505</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684,368.75</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684,368.75</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2100410</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突发公共卫生事件应急处理</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430,053.63</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430,053.63</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2013402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11,474.60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11,474.60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2110301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大气</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2,888,739.90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2,888,739.90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2040299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其他公安支出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2,762.00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2,762.00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2012902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2130124</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农村合作经济</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行政运行</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7,799,600.22</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7,799,600.22</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2010508</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统计抽样调查</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12,470.00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12,470.00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其他组织事务支出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其他宣传事务支出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农业生产发展</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6,819,423.78</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6,819,423.78</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2130126</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农村社会事业</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260,000.00</w:t>
            </w:r>
          </w:p>
        </w:tc>
      </w:tr>
      <w:tr>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2010302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1,670,670.34</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1,670,670.34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2130505</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生产发展</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6,974,616.23</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6,974,616.23</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2130599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其他巩固脱贫攻坚成果衔接乡村振兴支出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3,944,997.89</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3,944,997.89</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2120199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其他城乡社区管理事务支出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6,004,275.69</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6,004,275.69</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2070199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其他文化和旅游支出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2013816</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食品安全监管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10,468.00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10,468.00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2013302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324,034.36</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324,034.36</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对村级公益事业建设的补助</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2,325,339.24</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2,325,339.24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2210203</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购房补贴</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165,825.40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165,825.40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2013202</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一般行政管理事务</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1,509,685.00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1,509,685.00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2119999</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其他节能环保支出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8,142,084.00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8,142,084.00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2210201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住房公积金</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619,575.00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619,575.00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2130705</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对村民委员会和村党支部的补助</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4,781,464.00</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4,781,464.00</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2080506</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机关事业单位职业年金缴费支出</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374,893.34</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374,893.34</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2101103</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公务员医疗补助</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113,767.08</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113,767.08</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2080501</w:t>
            </w:r>
          </w:p>
        </w:tc>
        <w:tc>
          <w:tcPr>
            <w:tcW w:w="4826"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行政单位离退休</w:t>
            </w:r>
          </w:p>
        </w:tc>
        <w:tc>
          <w:tcPr>
            <w:tcW w:w="2844"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339,046.34</w:t>
            </w:r>
          </w:p>
        </w:tc>
        <w:tc>
          <w:tcPr>
            <w:tcW w:w="3059"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339,046.34</w:t>
            </w:r>
          </w:p>
        </w:tc>
        <w:tc>
          <w:tcPr>
            <w:tcW w:w="2980" w:type="dxa"/>
            <w:tcBorders>
              <w:top w:val="nil"/>
              <w:left w:val="nil"/>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Spec="center" w:tblpY="57"/>
        <w:tblOverlap w:val="never"/>
        <w:tblW w:w="14530" w:type="dxa"/>
        <w:jc w:val="center"/>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jc w:val="center"/>
        </w:trPr>
        <w:tc>
          <w:tcPr>
            <w:tcW w:w="14530" w:type="dxa"/>
            <w:gridSpan w:val="9"/>
            <w:vAlign w:val="bottom"/>
          </w:tcPr>
          <w:p>
            <w:pPr>
              <w:keepNext w:val="0"/>
              <w:keepLines w:val="0"/>
              <w:widowControl/>
              <w:suppressLineNumbers w:val="0"/>
              <w:spacing w:before="0" w:beforeAutospacing="0" w:after="0" w:afterAutospacing="0"/>
              <w:ind w:left="0" w:right="0"/>
              <w:jc w:val="center"/>
              <w:textAlignment w:val="bottom"/>
              <w:rPr>
                <w:rFonts w:hint="default"/>
                <w:color w:val="000000"/>
                <w:kern w:val="0"/>
                <w:sz w:val="18"/>
                <w:szCs w:val="18"/>
              </w:rPr>
            </w:pPr>
            <w:r>
              <w:rPr>
                <w:rFonts w:hint="default"/>
                <w:b/>
                <w:bCs/>
                <w:color w:val="000000"/>
                <w:kern w:val="0"/>
                <w:sz w:val="24"/>
              </w:rPr>
              <w:t>一般公共预算财政拨款基本支出决算表</w:t>
            </w:r>
          </w:p>
        </w:tc>
      </w:tr>
      <w:tr>
        <w:tblPrEx>
          <w:tblCellMar>
            <w:top w:w="15" w:type="dxa"/>
            <w:left w:w="15" w:type="dxa"/>
            <w:bottom w:w="15" w:type="dxa"/>
            <w:right w:w="15" w:type="dxa"/>
          </w:tblCellMar>
        </w:tblPrEx>
        <w:trPr>
          <w:trHeight w:val="155" w:hRule="atLeast"/>
          <w:jc w:val="center"/>
        </w:trPr>
        <w:tc>
          <w:tcPr>
            <w:tcW w:w="14530" w:type="dxa"/>
            <w:gridSpan w:val="9"/>
            <w:vAlign w:val="bottom"/>
          </w:tcPr>
          <w:p>
            <w:pPr>
              <w:keepNext w:val="0"/>
              <w:keepLines w:val="0"/>
              <w:widowControl/>
              <w:suppressLineNumbers w:val="0"/>
              <w:spacing w:before="0" w:beforeAutospacing="0" w:after="0" w:afterAutospacing="0"/>
              <w:ind w:left="0" w:right="0"/>
              <w:jc w:val="right"/>
              <w:textAlignment w:val="bottom"/>
              <w:rPr>
                <w:rFonts w:hint="default"/>
                <w:color w:val="000000"/>
                <w:sz w:val="18"/>
                <w:szCs w:val="18"/>
              </w:rPr>
            </w:pPr>
            <w:r>
              <w:rPr>
                <w:rFonts w:hint="default"/>
                <w:color w:val="000000"/>
                <w:kern w:val="0"/>
                <w:sz w:val="18"/>
                <w:szCs w:val="18"/>
              </w:rPr>
              <w:t>公开06表</w:t>
            </w:r>
          </w:p>
        </w:tc>
      </w:tr>
      <w:tr>
        <w:tblPrEx>
          <w:tblCellMar>
            <w:top w:w="15" w:type="dxa"/>
            <w:left w:w="15" w:type="dxa"/>
            <w:bottom w:w="15" w:type="dxa"/>
            <w:right w:w="15" w:type="dxa"/>
          </w:tblCellMar>
        </w:tblPrEx>
        <w:trPr>
          <w:trHeight w:val="97" w:hRule="atLeast"/>
          <w:jc w:val="center"/>
        </w:trPr>
        <w:tc>
          <w:tcPr>
            <w:tcW w:w="7398" w:type="dxa"/>
            <w:gridSpan w:val="5"/>
            <w:vAlign w:val="bottom"/>
          </w:tcPr>
          <w:p>
            <w:pPr>
              <w:keepNext w:val="0"/>
              <w:keepLines w:val="0"/>
              <w:suppressLineNumbers w:val="0"/>
              <w:spacing w:before="0" w:beforeAutospacing="0" w:after="0" w:afterAutospacing="0"/>
              <w:ind w:left="0" w:right="0"/>
              <w:rPr>
                <w:rFonts w:hint="default"/>
                <w:color w:val="000000"/>
                <w:sz w:val="20"/>
                <w:szCs w:val="20"/>
              </w:rPr>
            </w:pPr>
            <w:r>
              <w:rPr>
                <w:rFonts w:hint="eastAsia"/>
                <w:color w:val="000000"/>
                <w:kern w:val="0"/>
                <w:sz w:val="20"/>
                <w:szCs w:val="20"/>
                <w:lang w:eastAsia="zh-CN"/>
              </w:rPr>
              <w:t>公开</w:t>
            </w:r>
            <w:r>
              <w:rPr>
                <w:rFonts w:hint="default"/>
                <w:color w:val="000000"/>
                <w:kern w:val="0"/>
                <w:sz w:val="20"/>
                <w:szCs w:val="20"/>
              </w:rPr>
              <w:t>部门：</w:t>
            </w:r>
            <w:r>
              <w:rPr>
                <w:rFonts w:hint="eastAsia"/>
                <w:color w:val="000000"/>
                <w:kern w:val="0"/>
                <w:sz w:val="24"/>
                <w:lang w:val="en-US" w:eastAsia="zh-CN"/>
              </w:rPr>
              <w:t>银川市金凤区丰登镇人民政府</w:t>
            </w:r>
          </w:p>
        </w:tc>
        <w:tc>
          <w:tcPr>
            <w:tcW w:w="1692" w:type="dxa"/>
            <w:vAlign w:val="bottom"/>
          </w:tcPr>
          <w:p>
            <w:pPr>
              <w:keepNext w:val="0"/>
              <w:keepLines w:val="0"/>
              <w:suppressLineNumbers w:val="0"/>
              <w:spacing w:before="0" w:beforeAutospacing="0" w:after="0" w:afterAutospacing="0"/>
              <w:ind w:left="0" w:right="0"/>
              <w:rPr>
                <w:rFonts w:hint="default"/>
                <w:color w:val="000000"/>
                <w:sz w:val="20"/>
                <w:szCs w:val="20"/>
              </w:rPr>
            </w:pPr>
          </w:p>
        </w:tc>
        <w:tc>
          <w:tcPr>
            <w:tcW w:w="549" w:type="dxa"/>
            <w:vAlign w:val="bottom"/>
          </w:tcPr>
          <w:p>
            <w:pPr>
              <w:keepNext w:val="0"/>
              <w:keepLines w:val="0"/>
              <w:suppressLineNumbers w:val="0"/>
              <w:spacing w:before="0" w:beforeAutospacing="0" w:after="0" w:afterAutospacing="0"/>
              <w:ind w:left="0" w:right="0"/>
              <w:rPr>
                <w:rFonts w:hint="default"/>
                <w:color w:val="000000"/>
                <w:sz w:val="20"/>
                <w:szCs w:val="20"/>
              </w:rPr>
            </w:pPr>
          </w:p>
        </w:tc>
        <w:tc>
          <w:tcPr>
            <w:tcW w:w="3237" w:type="dxa"/>
            <w:vAlign w:val="bottom"/>
          </w:tcPr>
          <w:p>
            <w:pPr>
              <w:keepNext w:val="0"/>
              <w:keepLines w:val="0"/>
              <w:suppressLineNumbers w:val="0"/>
              <w:spacing w:before="0" w:beforeAutospacing="0" w:after="0" w:afterAutospacing="0"/>
              <w:ind w:left="0" w:right="0"/>
              <w:rPr>
                <w:rFonts w:hint="default"/>
                <w:color w:val="000000"/>
                <w:sz w:val="20"/>
                <w:szCs w:val="20"/>
              </w:rPr>
            </w:pPr>
          </w:p>
        </w:tc>
        <w:tc>
          <w:tcPr>
            <w:tcW w:w="1654" w:type="dxa"/>
            <w:vAlign w:val="bottom"/>
          </w:tcPr>
          <w:p>
            <w:pPr>
              <w:keepNext w:val="0"/>
              <w:keepLines w:val="0"/>
              <w:widowControl/>
              <w:suppressLineNumbers w:val="0"/>
              <w:spacing w:before="0" w:beforeAutospacing="0" w:after="0" w:afterAutospacing="0"/>
              <w:ind w:left="0" w:right="0"/>
              <w:jc w:val="right"/>
              <w:textAlignment w:val="bottom"/>
              <w:rPr>
                <w:rFonts w:hint="default"/>
                <w:color w:val="000000"/>
                <w:sz w:val="18"/>
                <w:szCs w:val="18"/>
              </w:rPr>
            </w:pPr>
            <w:r>
              <w:rPr>
                <w:rFonts w:hint="default"/>
                <w:color w:val="000000"/>
                <w:kern w:val="0"/>
                <w:sz w:val="18"/>
                <w:szCs w:val="18"/>
              </w:rPr>
              <w:t>金额单位：元</w:t>
            </w:r>
          </w:p>
        </w:tc>
      </w:tr>
      <w:tr>
        <w:tblPrEx>
          <w:tblCellMar>
            <w:top w:w="15" w:type="dxa"/>
            <w:left w:w="15" w:type="dxa"/>
            <w:bottom w:w="15" w:type="dxa"/>
            <w:right w:w="15" w:type="dxa"/>
          </w:tblCellMar>
        </w:tblPrEx>
        <w:trPr>
          <w:trHeight w:val="291" w:hRule="atLeast"/>
          <w:jc w:val="center"/>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308" w:hRule="atLeas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default"/>
                <w:color w:val="000000"/>
                <w:sz w:val="16"/>
                <w:szCs w:val="16"/>
              </w:rPr>
            </w:pPr>
            <w:r>
              <w:rPr>
                <w:rFonts w:hint="default"/>
                <w:color w:val="000000"/>
                <w:kern w:val="0"/>
                <w:sz w:val="22"/>
              </w:rPr>
              <w:t>决算数</w:t>
            </w:r>
          </w:p>
        </w:tc>
      </w:tr>
      <w:tr>
        <w:tblPrEx>
          <w:tblCellMar>
            <w:top w:w="15" w:type="dxa"/>
            <w:left w:w="15" w:type="dxa"/>
            <w:bottom w:w="15" w:type="dxa"/>
            <w:right w:w="15" w:type="dxa"/>
          </w:tblCellMar>
        </w:tblPrEx>
        <w:trPr>
          <w:trHeight w:val="306"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13,632,564.42</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b/>
                <w:bCs/>
                <w:color w:val="000000"/>
                <w:sz w:val="16"/>
                <w:szCs w:val="16"/>
              </w:rPr>
            </w:pPr>
            <w:r>
              <w:rPr>
                <w:rFonts w:hint="default"/>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1,167,555.29</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b/>
                <w:bCs/>
                <w:color w:val="000000"/>
                <w:sz w:val="16"/>
                <w:szCs w:val="16"/>
              </w:rPr>
            </w:pPr>
            <w:r>
              <w:rPr>
                <w:rFonts w:hint="default"/>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99"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2,059,991.32</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40,896.40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91"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2,741,611.00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83"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1,757,360.26</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3,000.00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b/>
                <w:bCs/>
                <w:color w:val="000000"/>
                <w:sz w:val="16"/>
                <w:szCs w:val="16"/>
              </w:rPr>
            </w:pPr>
            <w:r>
              <w:rPr>
                <w:rFonts w:hint="default"/>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710.00</w:t>
            </w:r>
          </w:p>
        </w:tc>
      </w:tr>
      <w:tr>
        <w:tblPrEx>
          <w:tblCellMar>
            <w:top w:w="15" w:type="dxa"/>
            <w:left w:w="15" w:type="dxa"/>
            <w:bottom w:w="15" w:type="dxa"/>
            <w:right w:w="15" w:type="dxa"/>
          </w:tblCellMar>
        </w:tblPrEx>
        <w:trPr>
          <w:trHeight w:val="281"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5,254.00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61"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13,449.51</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710.00</w:t>
            </w:r>
          </w:p>
        </w:tc>
      </w:tr>
      <w:tr>
        <w:tblPrEx>
          <w:tblCellMar>
            <w:top w:w="15" w:type="dxa"/>
            <w:left w:w="15" w:type="dxa"/>
            <w:bottom w:w="15" w:type="dxa"/>
            <w:right w:w="15" w:type="dxa"/>
          </w:tblCellMar>
        </w:tblPrEx>
        <w:trPr>
          <w:trHeight w:val="247"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684,368.75</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53,473.59</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54"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374,893.34</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15,396.75</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62"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272,078.92</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198,754.50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55"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113,767.08</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2,088.00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332"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19,364.83</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4,090.00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349"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619,575.00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57"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25,769.00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301"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0"/>
                <w:szCs w:val="21"/>
                <w:lang w:val="en-US" w:eastAsia="zh-CN"/>
              </w:rPr>
            </w:pPr>
            <w:r>
              <w:rPr>
                <w:rFonts w:hint="eastAsia" w:ascii="宋体" w:hAnsi="宋体"/>
                <w:color w:val="000000"/>
                <w:sz w:val="20"/>
                <w:szCs w:val="21"/>
              </w:rPr>
              <w:t>4,984,299.92</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98"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b/>
                <w:bCs/>
                <w:color w:val="000000"/>
                <w:sz w:val="16"/>
                <w:szCs w:val="16"/>
              </w:rPr>
            </w:pPr>
            <w:r>
              <w:rPr>
                <w:rFonts w:hint="default"/>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349,789.34</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62"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312"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339,046.34</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71"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78"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307"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10,743.00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99"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b/>
                <w:bCs/>
                <w:color w:val="000000"/>
                <w:sz w:val="16"/>
                <w:szCs w:val="16"/>
              </w:rPr>
            </w:pPr>
            <w:r>
              <w:rPr>
                <w:rFonts w:hint="default"/>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98"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1,070.00</w:t>
            </w:r>
          </w:p>
        </w:tc>
        <w:tc>
          <w:tcPr>
            <w:tcW w:w="549"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73"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38,019.86</w:t>
            </w:r>
          </w:p>
        </w:tc>
        <w:tc>
          <w:tcPr>
            <w:tcW w:w="549"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23"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49"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72,164.38</w:t>
            </w:r>
          </w:p>
        </w:tc>
        <w:tc>
          <w:tcPr>
            <w:tcW w:w="549"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64"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center"/>
              <w:rPr>
                <w:rFonts w:hint="default"/>
                <w:color w:val="000000"/>
                <w:sz w:val="13"/>
                <w:szCs w:val="13"/>
              </w:rPr>
            </w:pPr>
            <w:r>
              <w:rPr>
                <w:rFonts w:hint="eastAsia" w:ascii="宋体" w:hAnsi="宋体"/>
                <w:color w:val="000000"/>
                <w:sz w:val="20"/>
                <w:szCs w:val="21"/>
              </w:rPr>
              <w:t>0.00</w:t>
            </w:r>
          </w:p>
        </w:tc>
      </w:tr>
      <w:tr>
        <w:tblPrEx>
          <w:tblCellMar>
            <w:top w:w="15" w:type="dxa"/>
            <w:left w:w="15" w:type="dxa"/>
            <w:bottom w:w="15" w:type="dxa"/>
            <w:right w:w="15" w:type="dxa"/>
          </w:tblCellMar>
        </w:tblPrEx>
        <w:trPr>
          <w:trHeight w:val="242"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0.00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right"/>
              <w:rPr>
                <w:rFonts w:hint="default"/>
                <w:color w:val="000000"/>
                <w:sz w:val="13"/>
                <w:szCs w:val="13"/>
              </w:rPr>
            </w:pPr>
          </w:p>
        </w:tc>
      </w:tr>
      <w:tr>
        <w:tblPrEx>
          <w:tblCellMar>
            <w:top w:w="15" w:type="dxa"/>
            <w:left w:w="15" w:type="dxa"/>
            <w:bottom w:w="15" w:type="dxa"/>
            <w:right w:w="15" w:type="dxa"/>
          </w:tblCellMar>
        </w:tblPrEx>
        <w:trPr>
          <w:trHeight w:val="315" w:hRule="exact"/>
          <w:jc w:val="center"/>
        </w:trPr>
        <w:tc>
          <w:tcPr>
            <w:tcW w:w="599" w:type="dxa"/>
            <w:tcBorders>
              <w:left w:val="single" w:color="000000" w:sz="4" w:space="0"/>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line="160" w:lineRule="exact"/>
              <w:ind w:left="0" w:right="0"/>
              <w:jc w:val="left"/>
              <w:rPr>
                <w:rFonts w:hint="default"/>
                <w:color w:val="000000"/>
                <w:sz w:val="16"/>
                <w:szCs w:val="16"/>
              </w:rPr>
            </w:pPr>
          </w:p>
        </w:tc>
        <w:tc>
          <w:tcPr>
            <w:tcW w:w="2546" w:type="dxa"/>
            <w:tcBorders>
              <w:bottom w:val="single" w:color="000000" w:sz="4" w:space="0"/>
              <w:right w:val="single" w:color="000000" w:sz="4" w:space="0"/>
            </w:tcBorders>
            <w:shd w:val="clear" w:color="auto" w:fill="C0C0C0"/>
            <w:vAlign w:val="center"/>
          </w:tcPr>
          <w:p>
            <w:pPr>
              <w:keepNext w:val="0"/>
              <w:keepLines w:val="0"/>
              <w:suppressLineNumbers w:val="0"/>
              <w:spacing w:before="0" w:beforeAutospacing="0" w:after="0" w:afterAutospacing="0" w:line="160" w:lineRule="exact"/>
              <w:ind w:left="0" w:right="0"/>
              <w:jc w:val="left"/>
              <w:rPr>
                <w:rFonts w:hint="default"/>
                <w:color w:val="000000"/>
                <w:sz w:val="16"/>
                <w:szCs w:val="16"/>
              </w:rPr>
            </w:pPr>
          </w:p>
        </w:tc>
        <w:tc>
          <w:tcPr>
            <w:tcW w:w="1601" w:type="dxa"/>
            <w:tcBorders>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160" w:lineRule="exact"/>
              <w:ind w:left="0" w:right="0"/>
              <w:jc w:val="center"/>
              <w:rPr>
                <w:rFonts w:hint="default"/>
                <w:color w:val="000000"/>
                <w:sz w:val="16"/>
                <w:szCs w:val="16"/>
              </w:rPr>
            </w:pPr>
          </w:p>
        </w:tc>
        <w:tc>
          <w:tcPr>
            <w:tcW w:w="89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r>
              <w:rPr>
                <w:rFonts w:hint="default"/>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0"/>
                <w:szCs w:val="21"/>
                <w:lang w:val="en-US" w:eastAsia="zh-CN" w:bidi="ar-SA"/>
              </w:rPr>
            </w:pPr>
            <w:r>
              <w:rPr>
                <w:rFonts w:hint="eastAsia" w:ascii="宋体" w:hAnsi="宋体"/>
                <w:color w:val="000000"/>
                <w:sz w:val="20"/>
                <w:szCs w:val="21"/>
              </w:rPr>
              <w:t>699,383.30</w:t>
            </w:r>
          </w:p>
        </w:tc>
        <w:tc>
          <w:tcPr>
            <w:tcW w:w="549"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p>
        </w:tc>
        <w:tc>
          <w:tcPr>
            <w:tcW w:w="3237" w:type="dxa"/>
            <w:tcBorders>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sz w:val="16"/>
                <w:szCs w:val="16"/>
              </w:rPr>
            </w:pPr>
          </w:p>
        </w:tc>
        <w:tc>
          <w:tcPr>
            <w:tcW w:w="1654"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line="160" w:lineRule="exact"/>
              <w:ind w:left="0" w:right="0"/>
              <w:jc w:val="right"/>
              <w:rPr>
                <w:rFonts w:hint="default"/>
                <w:color w:val="000000"/>
                <w:sz w:val="16"/>
                <w:szCs w:val="16"/>
              </w:rPr>
            </w:pPr>
          </w:p>
        </w:tc>
      </w:tr>
      <w:tr>
        <w:tblPrEx>
          <w:tblCellMar>
            <w:top w:w="15" w:type="dxa"/>
            <w:left w:w="15" w:type="dxa"/>
            <w:bottom w:w="15" w:type="dxa"/>
            <w:right w:w="15" w:type="dxa"/>
          </w:tblCellMar>
        </w:tblPrEx>
        <w:trPr>
          <w:trHeight w:val="321" w:hRule="exact"/>
          <w:jc w:val="center"/>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center"/>
              <w:textAlignment w:val="center"/>
              <w:rPr>
                <w:rFonts w:hint="default"/>
                <w:color w:val="000000"/>
                <w:sz w:val="16"/>
                <w:szCs w:val="16"/>
              </w:rPr>
            </w:pPr>
            <w:r>
              <w:rPr>
                <w:rFonts w:hint="default"/>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27,964,707.52</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center"/>
              <w:textAlignment w:val="center"/>
              <w:rPr>
                <w:rFonts w:hint="default"/>
                <w:color w:val="000000"/>
                <w:sz w:val="16"/>
                <w:szCs w:val="16"/>
              </w:rPr>
            </w:pPr>
            <w:r>
              <w:rPr>
                <w:rFonts w:hint="default"/>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2,336,530.58</w:t>
            </w:r>
          </w:p>
        </w:tc>
      </w:tr>
      <w:tr>
        <w:tblPrEx>
          <w:tblCellMar>
            <w:top w:w="15" w:type="dxa"/>
            <w:left w:w="15" w:type="dxa"/>
            <w:bottom w:w="15" w:type="dxa"/>
            <w:right w:w="15" w:type="dxa"/>
          </w:tblCellMar>
        </w:tblPrEx>
        <w:trPr>
          <w:trHeight w:val="297" w:hRule="exact"/>
          <w:jc w:val="center"/>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line="160" w:lineRule="exact"/>
              <w:ind w:left="0" w:right="0"/>
              <w:jc w:val="center"/>
              <w:textAlignment w:val="center"/>
              <w:rPr>
                <w:rFonts w:hint="default"/>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30,301,238.10</w:t>
            </w:r>
          </w:p>
        </w:tc>
      </w:tr>
      <w:tr>
        <w:tblPrEx>
          <w:tblCellMar>
            <w:top w:w="15" w:type="dxa"/>
            <w:left w:w="15" w:type="dxa"/>
            <w:bottom w:w="15" w:type="dxa"/>
            <w:right w:w="15" w:type="dxa"/>
          </w:tblCellMar>
        </w:tblPrEx>
        <w:trPr>
          <w:trHeight w:val="226" w:hRule="atLeast"/>
          <w:jc w:val="center"/>
        </w:trPr>
        <w:tc>
          <w:tcPr>
            <w:tcW w:w="12876" w:type="dxa"/>
            <w:gridSpan w:val="8"/>
            <w:tcBorders>
              <w:top w:val="single" w:color="000000" w:sz="4" w:space="0"/>
              <w:left w:val="nil"/>
              <w:bottom w:val="nil"/>
              <w:right w:val="nil"/>
            </w:tcBorders>
            <w:shd w:val="clear" w:color="auto" w:fill="auto"/>
            <w:vAlign w:val="center"/>
          </w:tcPr>
          <w:p>
            <w:pPr>
              <w:keepNext w:val="0"/>
              <w:keepLines w:val="0"/>
              <w:widowControl/>
              <w:suppressLineNumbers w:val="0"/>
              <w:spacing w:before="0" w:beforeAutospacing="0" w:after="0" w:afterAutospacing="0" w:line="160" w:lineRule="exact"/>
              <w:ind w:left="0" w:right="0"/>
              <w:jc w:val="left"/>
              <w:textAlignment w:val="center"/>
              <w:rPr>
                <w:rFonts w:hint="default"/>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keepNext w:val="0"/>
              <w:keepLines w:val="0"/>
              <w:suppressLineNumbers w:val="0"/>
              <w:spacing w:before="0" w:beforeAutospacing="0" w:after="0" w:afterAutospacing="0" w:line="160" w:lineRule="exact"/>
              <w:ind w:left="0" w:right="0"/>
              <w:jc w:val="right"/>
              <w:rPr>
                <w:rFonts w:hint="default"/>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val="en-US" w:eastAsia="zh-CN"/>
              </w:rPr>
              <w:t>银川市金凤区丰登镇人民政府</w:t>
            </w: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72,164.38</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72,164.38</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84,000.00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72,164.38</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2"/>
                <w:szCs w:val="24"/>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2"/>
                <w:szCs w:val="24"/>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2"/>
                <w:szCs w:val="24"/>
              </w:rPr>
            </w:pPr>
            <w:r>
              <w:rPr>
                <w:rFonts w:hint="eastAsia" w:ascii="宋体" w:hAnsi="宋体"/>
                <w:color w:val="000000"/>
                <w:sz w:val="22"/>
                <w:szCs w:val="24"/>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olor w:val="000000"/>
                <w:sz w:val="22"/>
                <w:szCs w:val="24"/>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r>
      <w:tr>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2023年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银川市金凤区丰登镇人民政府</w:t>
            </w:r>
          </w:p>
        </w:tc>
        <w:tc>
          <w:tcPr>
            <w:tcW w:w="196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9,788,077.27</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9,788,077.27</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9,788,077.27</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2120899</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其他国有土地使用权出让收入安排的支出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379,449.27</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2120801</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征地和拆迁补偿支出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9,400,000.00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2296002</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用于社会福利的彩票公益金支出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8,628.00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8,628.00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8,628.00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480"/>
              <w:rPr>
                <w:rFonts w:hint="default"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keepNext w:val="0"/>
              <w:keepLines w:val="0"/>
              <w:widowControl/>
              <w:suppressLineNumbers w:val="0"/>
              <w:spacing w:before="0" w:beforeAutospacing="0" w:after="0" w:afterAutospacing="0"/>
              <w:ind w:left="0" w:right="0"/>
              <w:jc w:val="center"/>
              <w:rPr>
                <w:rFonts w:hint="default"/>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eastAsia"/>
                <w:color w:val="000000"/>
                <w:kern w:val="0"/>
                <w:sz w:val="24"/>
              </w:rPr>
              <w:t>公开</w:t>
            </w:r>
            <w:r>
              <w:rPr>
                <w:rFonts w:hint="default"/>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9143" w:type="dxa"/>
            <w:gridSpan w:val="5"/>
            <w:vAlign w:val="bottom"/>
          </w:tcPr>
          <w:p>
            <w:pPr>
              <w:keepNext w:val="0"/>
              <w:keepLines w:val="0"/>
              <w:widowControl/>
              <w:suppressLineNumbers w:val="0"/>
              <w:spacing w:before="0" w:beforeAutospacing="0" w:after="0" w:afterAutospacing="0"/>
              <w:ind w:left="0" w:right="0"/>
              <w:jc w:val="left"/>
              <w:rPr>
                <w:rFonts w:hint="default"/>
                <w:color w:val="000000"/>
                <w:kern w:val="0"/>
                <w:sz w:val="20"/>
              </w:rPr>
            </w:pPr>
            <w:r>
              <w:rPr>
                <w:rFonts w:hint="eastAsia"/>
                <w:color w:val="000000"/>
                <w:kern w:val="0"/>
                <w:sz w:val="24"/>
              </w:rPr>
              <w:t>公开部门：</w:t>
            </w:r>
            <w:r>
              <w:rPr>
                <w:rFonts w:hint="eastAsia"/>
                <w:color w:val="000000"/>
                <w:kern w:val="0"/>
                <w:sz w:val="24"/>
                <w:lang w:val="en-US" w:eastAsia="zh-CN"/>
              </w:rPr>
              <w:t>银川市金凤区丰登镇人民政府</w:t>
            </w:r>
          </w:p>
        </w:tc>
        <w:tc>
          <w:tcPr>
            <w:tcW w:w="3058" w:type="dxa"/>
            <w:vAlign w:val="bottom"/>
          </w:tcPr>
          <w:p>
            <w:pPr>
              <w:keepNext w:val="0"/>
              <w:keepLines w:val="0"/>
              <w:widowControl/>
              <w:suppressLineNumbers w:val="0"/>
              <w:spacing w:before="0" w:beforeAutospacing="0" w:after="0" w:afterAutospacing="0"/>
              <w:ind w:left="0" w:right="0"/>
              <w:jc w:val="center"/>
              <w:rPr>
                <w:rFonts w:hint="default"/>
                <w:color w:val="000000"/>
                <w:kern w:val="0"/>
                <w:sz w:val="24"/>
              </w:rPr>
            </w:pPr>
          </w:p>
        </w:tc>
        <w:tc>
          <w:tcPr>
            <w:tcW w:w="2979" w:type="dxa"/>
            <w:vAlign w:val="bottom"/>
          </w:tcPr>
          <w:p>
            <w:pPr>
              <w:keepNext w:val="0"/>
              <w:keepLines w:val="0"/>
              <w:widowControl/>
              <w:suppressLineNumbers w:val="0"/>
              <w:spacing w:before="0" w:beforeAutospacing="0" w:after="0" w:afterAutospacing="0"/>
              <w:ind w:left="0" w:right="0"/>
              <w:jc w:val="right"/>
              <w:rPr>
                <w:rFonts w:hint="default"/>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1</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2</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default"/>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无</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color w:val="000000"/>
                <w:kern w:val="0"/>
                <w:sz w:val="22"/>
              </w:rPr>
            </w:pPr>
            <w:r>
              <w:rPr>
                <w:rFonts w:hint="eastAsia"/>
                <w:color w:val="000000"/>
                <w:kern w:val="0"/>
                <w:sz w:val="22"/>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keepNext w:val="0"/>
              <w:keepLines w:val="0"/>
              <w:widowControl/>
              <w:suppressLineNumbers w:val="0"/>
              <w:spacing w:before="0" w:beforeAutospacing="0" w:after="0" w:afterAutospacing="0"/>
              <w:ind w:left="0" w:right="0"/>
              <w:jc w:val="left"/>
              <w:rPr>
                <w:rFonts w:hint="default"/>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pgNumType w:fmt="decimal"/>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2023年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2023年度收入总计79</w:t>
      </w:r>
      <w:r>
        <w:rPr>
          <w:rFonts w:hint="eastAsia" w:eastAsia="仿宋_GB2312"/>
          <w:kern w:val="0"/>
          <w:sz w:val="32"/>
          <w:szCs w:val="32"/>
          <w:lang w:val="en-US" w:eastAsia="zh-CN"/>
        </w:rPr>
        <w:t>,</w:t>
      </w:r>
      <w:r>
        <w:rPr>
          <w:rFonts w:hint="eastAsia" w:eastAsia="仿宋_GB2312"/>
          <w:kern w:val="0"/>
          <w:sz w:val="32"/>
          <w:szCs w:val="32"/>
          <w:lang w:eastAsia="zh-CN"/>
        </w:rPr>
        <w:t>815</w:t>
      </w:r>
      <w:r>
        <w:rPr>
          <w:rFonts w:hint="eastAsia" w:eastAsia="仿宋_GB2312"/>
          <w:kern w:val="0"/>
          <w:sz w:val="32"/>
          <w:szCs w:val="32"/>
          <w:lang w:val="en-US" w:eastAsia="zh-CN"/>
        </w:rPr>
        <w:t>,</w:t>
      </w:r>
      <w:r>
        <w:rPr>
          <w:rFonts w:hint="eastAsia" w:eastAsia="仿宋_GB2312"/>
          <w:kern w:val="0"/>
          <w:sz w:val="32"/>
          <w:szCs w:val="32"/>
          <w:lang w:eastAsia="zh-CN"/>
        </w:rPr>
        <w:t>700.38元，支出总计80</w:t>
      </w:r>
      <w:r>
        <w:rPr>
          <w:rFonts w:hint="eastAsia" w:eastAsia="仿宋_GB2312"/>
          <w:kern w:val="0"/>
          <w:sz w:val="32"/>
          <w:szCs w:val="32"/>
          <w:lang w:val="en-US" w:eastAsia="zh-CN"/>
        </w:rPr>
        <w:t>,</w:t>
      </w:r>
      <w:r>
        <w:rPr>
          <w:rFonts w:hint="eastAsia" w:eastAsia="仿宋_GB2312"/>
          <w:kern w:val="0"/>
          <w:sz w:val="32"/>
          <w:szCs w:val="32"/>
          <w:lang w:eastAsia="zh-CN"/>
        </w:rPr>
        <w:t>319</w:t>
      </w:r>
      <w:r>
        <w:rPr>
          <w:rFonts w:hint="eastAsia" w:eastAsia="仿宋_GB2312"/>
          <w:kern w:val="0"/>
          <w:sz w:val="32"/>
          <w:szCs w:val="32"/>
          <w:lang w:val="en-US" w:eastAsia="zh-CN"/>
        </w:rPr>
        <w:t>,</w:t>
      </w:r>
      <w:r>
        <w:rPr>
          <w:rFonts w:hint="eastAsia" w:eastAsia="仿宋_GB2312"/>
          <w:kern w:val="0"/>
          <w:sz w:val="32"/>
          <w:szCs w:val="32"/>
          <w:lang w:eastAsia="zh-CN"/>
        </w:rPr>
        <w:t>747.71元。与上年相比，收入总计增加23,391,745.81元，增长41.46%，主要原因是一般公共预算财政拨款收入和其他收入增加；支出总计增加21,955,737.29元，增长37.62%，主要原因是</w:t>
      </w:r>
      <w:r>
        <w:rPr>
          <w:rFonts w:hint="eastAsia" w:eastAsia="仿宋_GB2312"/>
          <w:kern w:val="0"/>
          <w:sz w:val="32"/>
          <w:szCs w:val="32"/>
        </w:rPr>
        <w:t>农林水支出</w:t>
      </w:r>
      <w:r>
        <w:rPr>
          <w:rFonts w:hint="eastAsia" w:eastAsia="仿宋_GB2312"/>
          <w:kern w:val="0"/>
          <w:sz w:val="32"/>
          <w:szCs w:val="32"/>
          <w:lang w:eastAsia="zh-CN"/>
        </w:rPr>
        <w:t>、</w:t>
      </w:r>
      <w:r>
        <w:rPr>
          <w:rFonts w:hint="eastAsia" w:eastAsia="仿宋_GB2312"/>
          <w:kern w:val="0"/>
          <w:sz w:val="32"/>
          <w:szCs w:val="32"/>
        </w:rPr>
        <w:t>城乡社区支出</w:t>
      </w:r>
      <w:r>
        <w:rPr>
          <w:rFonts w:hint="eastAsia" w:eastAsia="仿宋_GB2312"/>
          <w:kern w:val="0"/>
          <w:sz w:val="32"/>
          <w:szCs w:val="32"/>
          <w:lang w:eastAsia="zh-CN"/>
        </w:rPr>
        <w:t>、</w:t>
      </w:r>
      <w:r>
        <w:rPr>
          <w:rFonts w:hint="eastAsia" w:eastAsia="仿宋_GB2312"/>
          <w:kern w:val="0"/>
          <w:sz w:val="32"/>
          <w:szCs w:val="32"/>
        </w:rPr>
        <w:t>节能环保支出</w:t>
      </w:r>
      <w:r>
        <w:rPr>
          <w:rFonts w:hint="eastAsia" w:eastAsia="仿宋_GB2312"/>
          <w:kern w:val="0"/>
          <w:sz w:val="32"/>
          <w:szCs w:val="32"/>
          <w:lang w:eastAsia="zh-CN"/>
        </w:rPr>
        <w:t>、</w:t>
      </w:r>
      <w:r>
        <w:rPr>
          <w:rFonts w:hint="eastAsia" w:eastAsia="仿宋_GB2312"/>
          <w:kern w:val="0"/>
          <w:sz w:val="32"/>
          <w:szCs w:val="32"/>
        </w:rPr>
        <w:t>社会保障和就业支出的增加</w:t>
      </w:r>
      <w:r>
        <w:rPr>
          <w:rFonts w:hint="eastAsia" w:eastAsia="仿宋_GB2312"/>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2023年度收入合计79</w:t>
      </w:r>
      <w:r>
        <w:rPr>
          <w:rFonts w:hint="eastAsia" w:eastAsia="仿宋_GB2312"/>
          <w:kern w:val="0"/>
          <w:sz w:val="32"/>
          <w:szCs w:val="32"/>
          <w:lang w:val="en-US" w:eastAsia="zh-CN"/>
        </w:rPr>
        <w:t>,</w:t>
      </w:r>
      <w:r>
        <w:rPr>
          <w:rFonts w:hint="eastAsia" w:eastAsia="仿宋_GB2312"/>
          <w:kern w:val="0"/>
          <w:sz w:val="32"/>
          <w:szCs w:val="32"/>
          <w:lang w:eastAsia="zh-CN"/>
        </w:rPr>
        <w:t>815</w:t>
      </w:r>
      <w:r>
        <w:rPr>
          <w:rFonts w:hint="eastAsia" w:eastAsia="仿宋_GB2312"/>
          <w:kern w:val="0"/>
          <w:sz w:val="32"/>
          <w:szCs w:val="32"/>
          <w:lang w:val="en-US" w:eastAsia="zh-CN"/>
        </w:rPr>
        <w:t>,</w:t>
      </w:r>
      <w:r>
        <w:rPr>
          <w:rFonts w:hint="eastAsia" w:eastAsia="仿宋_GB2312"/>
          <w:kern w:val="0"/>
          <w:sz w:val="32"/>
          <w:szCs w:val="32"/>
          <w:lang w:eastAsia="zh-CN"/>
        </w:rPr>
        <w:t>700.38元，其中：财政拨款收入73</w:t>
      </w:r>
      <w:r>
        <w:rPr>
          <w:rFonts w:hint="eastAsia" w:eastAsia="仿宋_GB2312"/>
          <w:kern w:val="0"/>
          <w:sz w:val="32"/>
          <w:szCs w:val="32"/>
          <w:lang w:val="en-US" w:eastAsia="zh-CN"/>
        </w:rPr>
        <w:t>,</w:t>
      </w:r>
      <w:r>
        <w:rPr>
          <w:rFonts w:hint="eastAsia" w:eastAsia="仿宋_GB2312"/>
          <w:kern w:val="0"/>
          <w:sz w:val="32"/>
          <w:szCs w:val="32"/>
          <w:lang w:eastAsia="zh-CN"/>
        </w:rPr>
        <w:t>866</w:t>
      </w:r>
      <w:r>
        <w:rPr>
          <w:rFonts w:hint="eastAsia" w:eastAsia="仿宋_GB2312"/>
          <w:kern w:val="0"/>
          <w:sz w:val="32"/>
          <w:szCs w:val="32"/>
          <w:lang w:val="en-US" w:eastAsia="zh-CN"/>
        </w:rPr>
        <w:t>,</w:t>
      </w:r>
      <w:r>
        <w:rPr>
          <w:rFonts w:hint="eastAsia" w:eastAsia="仿宋_GB2312"/>
          <w:kern w:val="0"/>
          <w:sz w:val="32"/>
          <w:szCs w:val="32"/>
          <w:lang w:eastAsia="zh-CN"/>
        </w:rPr>
        <w:t>113.97元，占收入的92.55%；其他收入5</w:t>
      </w:r>
      <w:r>
        <w:rPr>
          <w:rFonts w:hint="eastAsia" w:eastAsia="仿宋_GB2312"/>
          <w:kern w:val="0"/>
          <w:sz w:val="32"/>
          <w:szCs w:val="32"/>
          <w:lang w:val="en-US" w:eastAsia="zh-CN"/>
        </w:rPr>
        <w:t>,</w:t>
      </w:r>
      <w:r>
        <w:rPr>
          <w:rFonts w:hint="eastAsia" w:eastAsia="仿宋_GB2312"/>
          <w:kern w:val="0"/>
          <w:sz w:val="32"/>
          <w:szCs w:val="32"/>
          <w:lang w:eastAsia="zh-CN"/>
        </w:rPr>
        <w:t>949</w:t>
      </w:r>
      <w:r>
        <w:rPr>
          <w:rFonts w:hint="eastAsia" w:eastAsia="仿宋_GB2312"/>
          <w:kern w:val="0"/>
          <w:sz w:val="32"/>
          <w:szCs w:val="32"/>
          <w:lang w:val="en-US" w:eastAsia="zh-CN"/>
        </w:rPr>
        <w:t>,</w:t>
      </w:r>
      <w:r>
        <w:rPr>
          <w:rFonts w:hint="eastAsia" w:eastAsia="仿宋_GB2312"/>
          <w:kern w:val="0"/>
          <w:sz w:val="32"/>
          <w:szCs w:val="32"/>
          <w:lang w:eastAsia="zh-CN"/>
        </w:rPr>
        <w:t>586.41元，占收入的7.45%。</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2023年度支出合计80</w:t>
      </w:r>
      <w:r>
        <w:rPr>
          <w:rFonts w:hint="eastAsia" w:eastAsia="仿宋_GB2312"/>
          <w:kern w:val="0"/>
          <w:sz w:val="32"/>
          <w:szCs w:val="32"/>
          <w:lang w:val="en-US" w:eastAsia="zh-CN"/>
        </w:rPr>
        <w:t>,</w:t>
      </w:r>
      <w:r>
        <w:rPr>
          <w:rFonts w:hint="eastAsia" w:eastAsia="仿宋_GB2312"/>
          <w:kern w:val="0"/>
          <w:sz w:val="32"/>
          <w:szCs w:val="32"/>
          <w:lang w:eastAsia="zh-CN"/>
        </w:rPr>
        <w:t>319</w:t>
      </w:r>
      <w:r>
        <w:rPr>
          <w:rFonts w:hint="eastAsia" w:eastAsia="仿宋_GB2312"/>
          <w:kern w:val="0"/>
          <w:sz w:val="32"/>
          <w:szCs w:val="32"/>
          <w:lang w:val="en-US" w:eastAsia="zh-CN"/>
        </w:rPr>
        <w:t>,</w:t>
      </w:r>
      <w:r>
        <w:rPr>
          <w:rFonts w:hint="eastAsia" w:eastAsia="仿宋_GB2312"/>
          <w:kern w:val="0"/>
          <w:sz w:val="32"/>
          <w:szCs w:val="32"/>
          <w:lang w:eastAsia="zh-CN"/>
        </w:rPr>
        <w:t>747.71元，其中：基本支出15</w:t>
      </w:r>
      <w:r>
        <w:rPr>
          <w:rFonts w:hint="eastAsia" w:eastAsia="仿宋_GB2312"/>
          <w:kern w:val="0"/>
          <w:sz w:val="32"/>
          <w:szCs w:val="32"/>
          <w:lang w:val="en-US" w:eastAsia="zh-CN"/>
        </w:rPr>
        <w:t>,</w:t>
      </w:r>
      <w:r>
        <w:rPr>
          <w:rFonts w:hint="eastAsia" w:eastAsia="仿宋_GB2312"/>
          <w:kern w:val="0"/>
          <w:sz w:val="32"/>
          <w:szCs w:val="32"/>
          <w:lang w:eastAsia="zh-CN"/>
        </w:rPr>
        <w:t>187</w:t>
      </w:r>
      <w:r>
        <w:rPr>
          <w:rFonts w:hint="eastAsia" w:eastAsia="仿宋_GB2312"/>
          <w:kern w:val="0"/>
          <w:sz w:val="32"/>
          <w:szCs w:val="32"/>
          <w:lang w:val="en-US" w:eastAsia="zh-CN"/>
        </w:rPr>
        <w:t>,</w:t>
      </w:r>
      <w:r>
        <w:rPr>
          <w:rFonts w:hint="eastAsia" w:eastAsia="仿宋_GB2312"/>
          <w:kern w:val="0"/>
          <w:sz w:val="32"/>
          <w:szCs w:val="32"/>
          <w:lang w:eastAsia="zh-CN"/>
        </w:rPr>
        <w:t>587.05元，占支出的18.91%；项目支出65</w:t>
      </w:r>
      <w:r>
        <w:rPr>
          <w:rFonts w:hint="eastAsia" w:eastAsia="仿宋_GB2312"/>
          <w:kern w:val="0"/>
          <w:sz w:val="32"/>
          <w:szCs w:val="32"/>
          <w:lang w:val="en-US" w:eastAsia="zh-CN"/>
        </w:rPr>
        <w:t>,</w:t>
      </w:r>
      <w:r>
        <w:rPr>
          <w:rFonts w:hint="eastAsia" w:eastAsia="仿宋_GB2312"/>
          <w:kern w:val="0"/>
          <w:sz w:val="32"/>
          <w:szCs w:val="32"/>
          <w:lang w:eastAsia="zh-CN"/>
        </w:rPr>
        <w:t>132</w:t>
      </w:r>
      <w:r>
        <w:rPr>
          <w:rFonts w:hint="eastAsia" w:eastAsia="仿宋_GB2312"/>
          <w:kern w:val="0"/>
          <w:sz w:val="32"/>
          <w:szCs w:val="32"/>
          <w:lang w:val="en-US" w:eastAsia="zh-CN"/>
        </w:rPr>
        <w:t>,</w:t>
      </w:r>
      <w:r>
        <w:rPr>
          <w:rFonts w:hint="eastAsia" w:eastAsia="仿宋_GB2312"/>
          <w:kern w:val="0"/>
          <w:sz w:val="32"/>
          <w:szCs w:val="32"/>
          <w:lang w:eastAsia="zh-CN"/>
        </w:rPr>
        <w:t>160.66元，占支出的81.09%。</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2023年度财政拨款收入总计73</w:t>
      </w:r>
      <w:r>
        <w:rPr>
          <w:rFonts w:hint="eastAsia" w:eastAsia="仿宋_GB2312"/>
          <w:kern w:val="0"/>
          <w:sz w:val="32"/>
          <w:szCs w:val="32"/>
          <w:lang w:val="en-US" w:eastAsia="zh-CN"/>
        </w:rPr>
        <w:t>,</w:t>
      </w:r>
      <w:r>
        <w:rPr>
          <w:rFonts w:hint="eastAsia" w:eastAsia="仿宋_GB2312"/>
          <w:kern w:val="0"/>
          <w:sz w:val="32"/>
          <w:szCs w:val="32"/>
          <w:lang w:eastAsia="zh-CN"/>
        </w:rPr>
        <w:t>866</w:t>
      </w:r>
      <w:r>
        <w:rPr>
          <w:rFonts w:hint="eastAsia" w:eastAsia="仿宋_GB2312"/>
          <w:kern w:val="0"/>
          <w:sz w:val="32"/>
          <w:szCs w:val="32"/>
          <w:lang w:val="en-US" w:eastAsia="zh-CN"/>
        </w:rPr>
        <w:t>,</w:t>
      </w:r>
      <w:r>
        <w:rPr>
          <w:rFonts w:hint="eastAsia" w:eastAsia="仿宋_GB2312"/>
          <w:kern w:val="0"/>
          <w:sz w:val="32"/>
          <w:szCs w:val="32"/>
          <w:lang w:eastAsia="zh-CN"/>
        </w:rPr>
        <w:t>113.97元，同比增加21,158,318.3</w:t>
      </w:r>
      <w:r>
        <w:rPr>
          <w:rFonts w:hint="eastAsia" w:eastAsia="仿宋_GB2312"/>
          <w:kern w:val="0"/>
          <w:sz w:val="32"/>
          <w:szCs w:val="32"/>
          <w:lang w:val="en-US" w:eastAsia="zh-CN"/>
        </w:rPr>
        <w:t>0</w:t>
      </w:r>
      <w:r>
        <w:rPr>
          <w:rFonts w:hint="eastAsia" w:eastAsia="仿宋_GB2312"/>
          <w:kern w:val="0"/>
          <w:sz w:val="32"/>
          <w:szCs w:val="32"/>
          <w:lang w:eastAsia="zh-CN"/>
        </w:rPr>
        <w:t>元，增长40.14%；支出总计73,866,113.97元，同比增加21,158,318.3</w:t>
      </w:r>
      <w:r>
        <w:rPr>
          <w:rFonts w:hint="eastAsia" w:eastAsia="仿宋_GB2312"/>
          <w:kern w:val="0"/>
          <w:sz w:val="32"/>
          <w:szCs w:val="32"/>
          <w:lang w:val="en-US" w:eastAsia="zh-CN"/>
        </w:rPr>
        <w:t>0</w:t>
      </w:r>
      <w:r>
        <w:rPr>
          <w:rFonts w:hint="eastAsia" w:eastAsia="仿宋_GB2312"/>
          <w:kern w:val="0"/>
          <w:sz w:val="32"/>
          <w:szCs w:val="32"/>
          <w:lang w:eastAsia="zh-CN"/>
        </w:rPr>
        <w:t>元，增长40.14%。主要原因是</w:t>
      </w:r>
      <w:r>
        <w:rPr>
          <w:rFonts w:hint="eastAsia" w:eastAsia="仿宋_GB2312"/>
          <w:kern w:val="0"/>
          <w:sz w:val="32"/>
          <w:szCs w:val="32"/>
        </w:rPr>
        <w:t>农林水支出</w:t>
      </w:r>
      <w:r>
        <w:rPr>
          <w:rFonts w:hint="eastAsia" w:eastAsia="仿宋_GB2312"/>
          <w:kern w:val="0"/>
          <w:sz w:val="32"/>
          <w:szCs w:val="32"/>
          <w:lang w:eastAsia="zh-CN"/>
        </w:rPr>
        <w:t>、</w:t>
      </w:r>
      <w:r>
        <w:rPr>
          <w:rFonts w:hint="eastAsia" w:eastAsia="仿宋_GB2312"/>
          <w:kern w:val="0"/>
          <w:sz w:val="32"/>
          <w:szCs w:val="32"/>
        </w:rPr>
        <w:t>城乡社区支出</w:t>
      </w:r>
      <w:r>
        <w:rPr>
          <w:rFonts w:hint="eastAsia" w:eastAsia="仿宋_GB2312"/>
          <w:kern w:val="0"/>
          <w:sz w:val="32"/>
          <w:szCs w:val="32"/>
          <w:lang w:eastAsia="zh-CN"/>
        </w:rPr>
        <w:t>、</w:t>
      </w:r>
      <w:r>
        <w:rPr>
          <w:rFonts w:hint="eastAsia" w:eastAsia="仿宋_GB2312"/>
          <w:kern w:val="0"/>
          <w:sz w:val="32"/>
          <w:szCs w:val="32"/>
        </w:rPr>
        <w:t>节能环保支出</w:t>
      </w:r>
      <w:r>
        <w:rPr>
          <w:rFonts w:hint="eastAsia" w:eastAsia="仿宋_GB2312"/>
          <w:kern w:val="0"/>
          <w:sz w:val="32"/>
          <w:szCs w:val="32"/>
          <w:lang w:eastAsia="zh-CN"/>
        </w:rPr>
        <w:t>、</w:t>
      </w:r>
      <w:r>
        <w:rPr>
          <w:rFonts w:hint="eastAsia" w:eastAsia="仿宋_GB2312"/>
          <w:kern w:val="0"/>
          <w:sz w:val="32"/>
          <w:szCs w:val="32"/>
        </w:rPr>
        <w:t>社会保障和就业支出的增加</w:t>
      </w:r>
      <w:r>
        <w:rPr>
          <w:rFonts w:hint="eastAsia" w:eastAsia="仿宋_GB2312"/>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2023年度一般公共预算财政拨款支出64</w:t>
      </w:r>
      <w:r>
        <w:rPr>
          <w:rFonts w:hint="eastAsia" w:eastAsia="仿宋_GB2312"/>
          <w:kern w:val="0"/>
          <w:sz w:val="32"/>
          <w:szCs w:val="32"/>
          <w:lang w:val="en-US" w:eastAsia="zh-CN"/>
        </w:rPr>
        <w:t>,</w:t>
      </w:r>
      <w:r>
        <w:rPr>
          <w:rFonts w:hint="eastAsia" w:eastAsia="仿宋_GB2312"/>
          <w:kern w:val="0"/>
          <w:sz w:val="32"/>
          <w:szCs w:val="32"/>
          <w:lang w:eastAsia="zh-CN"/>
        </w:rPr>
        <w:t>078</w:t>
      </w:r>
      <w:r>
        <w:rPr>
          <w:rFonts w:hint="eastAsia" w:eastAsia="仿宋_GB2312"/>
          <w:kern w:val="0"/>
          <w:sz w:val="32"/>
          <w:szCs w:val="32"/>
          <w:lang w:val="en-US" w:eastAsia="zh-CN"/>
        </w:rPr>
        <w:t>,</w:t>
      </w:r>
      <w:r>
        <w:rPr>
          <w:rFonts w:hint="eastAsia" w:eastAsia="仿宋_GB2312"/>
          <w:kern w:val="0"/>
          <w:sz w:val="32"/>
          <w:szCs w:val="32"/>
          <w:lang w:eastAsia="zh-CN"/>
        </w:rPr>
        <w:t>036.7</w:t>
      </w:r>
      <w:r>
        <w:rPr>
          <w:rFonts w:hint="eastAsia" w:eastAsia="仿宋_GB2312"/>
          <w:kern w:val="0"/>
          <w:sz w:val="32"/>
          <w:szCs w:val="32"/>
          <w:lang w:val="en-US" w:eastAsia="zh-CN"/>
        </w:rPr>
        <w:t>0</w:t>
      </w:r>
      <w:r>
        <w:rPr>
          <w:rFonts w:hint="eastAsia" w:eastAsia="仿宋_GB2312"/>
          <w:kern w:val="0"/>
          <w:sz w:val="32"/>
          <w:szCs w:val="32"/>
          <w:lang w:eastAsia="zh-CN"/>
        </w:rPr>
        <w:t>元，占本年支出合计的79.78%。与上年相比，一般公共预算财政拨款支出增加11,370,241.03元，增长21.57%，主要原因是</w:t>
      </w:r>
      <w:r>
        <w:rPr>
          <w:rFonts w:hint="eastAsia" w:eastAsia="仿宋_GB2312"/>
          <w:kern w:val="0"/>
          <w:sz w:val="32"/>
          <w:szCs w:val="32"/>
        </w:rPr>
        <w:t>农业生产发展</w:t>
      </w:r>
      <w:r>
        <w:rPr>
          <w:rFonts w:hint="eastAsia" w:eastAsia="仿宋_GB2312"/>
          <w:kern w:val="0"/>
          <w:sz w:val="32"/>
          <w:szCs w:val="32"/>
          <w:lang w:eastAsia="zh-CN"/>
        </w:rPr>
        <w:t>、</w:t>
      </w:r>
      <w:r>
        <w:rPr>
          <w:rFonts w:hint="eastAsia" w:eastAsia="仿宋_GB2312"/>
          <w:kern w:val="0"/>
          <w:sz w:val="32"/>
          <w:szCs w:val="32"/>
        </w:rPr>
        <w:t>生产发展</w:t>
      </w:r>
      <w:r>
        <w:rPr>
          <w:rFonts w:hint="eastAsia" w:eastAsia="仿宋_GB2312"/>
          <w:kern w:val="0"/>
          <w:sz w:val="32"/>
          <w:szCs w:val="32"/>
          <w:lang w:eastAsia="zh-CN"/>
        </w:rPr>
        <w:t>、</w:t>
      </w:r>
      <w:r>
        <w:rPr>
          <w:rFonts w:hint="eastAsia" w:eastAsia="仿宋_GB2312"/>
          <w:kern w:val="0"/>
          <w:sz w:val="32"/>
          <w:szCs w:val="32"/>
          <w:lang w:val="en-US" w:eastAsia="zh-CN"/>
        </w:rPr>
        <w:t>其他节能环保支出</w:t>
      </w:r>
      <w:r>
        <w:rPr>
          <w:rFonts w:hint="eastAsia" w:eastAsia="仿宋_GB2312"/>
          <w:kern w:val="0"/>
          <w:sz w:val="32"/>
          <w:szCs w:val="32"/>
        </w:rPr>
        <w:t>的增加</w:t>
      </w:r>
      <w:r>
        <w:rPr>
          <w:rFonts w:hint="eastAsia" w:eastAsia="仿宋_GB2312"/>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eastAsia="仿宋_GB2312"/>
          <w:b/>
          <w:kern w:val="0"/>
          <w:sz w:val="32"/>
          <w:szCs w:val="32"/>
        </w:rPr>
      </w:pPr>
      <w:r>
        <w:rPr>
          <w:rFonts w:hint="eastAsia" w:eastAsia="仿宋_GB2312"/>
          <w:kern w:val="0"/>
          <w:sz w:val="32"/>
          <w:szCs w:val="32"/>
          <w:lang w:eastAsia="zh-CN"/>
        </w:rPr>
        <w:t>2023年度一般公共预算财政拨款支出64</w:t>
      </w:r>
      <w:r>
        <w:rPr>
          <w:rFonts w:hint="eastAsia" w:eastAsia="仿宋_GB2312"/>
          <w:kern w:val="0"/>
          <w:sz w:val="32"/>
          <w:szCs w:val="32"/>
          <w:lang w:val="en-US" w:eastAsia="zh-CN"/>
        </w:rPr>
        <w:t>,</w:t>
      </w:r>
      <w:r>
        <w:rPr>
          <w:rFonts w:hint="eastAsia" w:eastAsia="仿宋_GB2312"/>
          <w:kern w:val="0"/>
          <w:sz w:val="32"/>
          <w:szCs w:val="32"/>
          <w:lang w:eastAsia="zh-CN"/>
        </w:rPr>
        <w:t>078</w:t>
      </w:r>
      <w:r>
        <w:rPr>
          <w:rFonts w:hint="eastAsia" w:eastAsia="仿宋_GB2312"/>
          <w:kern w:val="0"/>
          <w:sz w:val="32"/>
          <w:szCs w:val="32"/>
          <w:lang w:val="en-US" w:eastAsia="zh-CN"/>
        </w:rPr>
        <w:t>,</w:t>
      </w:r>
      <w:r>
        <w:rPr>
          <w:rFonts w:hint="eastAsia" w:eastAsia="仿宋_GB2312"/>
          <w:kern w:val="0"/>
          <w:sz w:val="32"/>
          <w:szCs w:val="32"/>
          <w:lang w:eastAsia="zh-CN"/>
        </w:rPr>
        <w:t>036.7</w:t>
      </w:r>
      <w:r>
        <w:rPr>
          <w:rFonts w:hint="eastAsia" w:eastAsia="仿宋_GB2312"/>
          <w:kern w:val="0"/>
          <w:sz w:val="32"/>
          <w:szCs w:val="32"/>
          <w:lang w:val="en-US" w:eastAsia="zh-CN"/>
        </w:rPr>
        <w:t>0</w:t>
      </w:r>
      <w:r>
        <w:rPr>
          <w:rFonts w:hint="eastAsia" w:eastAsia="仿宋_GB2312"/>
          <w:kern w:val="0"/>
          <w:sz w:val="32"/>
          <w:szCs w:val="32"/>
          <w:lang w:eastAsia="zh-CN"/>
        </w:rPr>
        <w:t>元，主要用于以下方面：：其他节能环保支出8</w:t>
      </w:r>
      <w:r>
        <w:rPr>
          <w:rFonts w:hint="eastAsia" w:eastAsia="仿宋_GB2312"/>
          <w:kern w:val="0"/>
          <w:sz w:val="32"/>
          <w:szCs w:val="32"/>
          <w:lang w:val="en-US" w:eastAsia="zh-CN"/>
        </w:rPr>
        <w:t>,</w:t>
      </w:r>
      <w:r>
        <w:rPr>
          <w:rFonts w:hint="eastAsia" w:eastAsia="仿宋_GB2312"/>
          <w:kern w:val="0"/>
          <w:sz w:val="32"/>
          <w:szCs w:val="32"/>
          <w:lang w:eastAsia="zh-CN"/>
        </w:rPr>
        <w:t>142</w:t>
      </w:r>
      <w:r>
        <w:rPr>
          <w:rFonts w:hint="eastAsia" w:eastAsia="仿宋_GB2312"/>
          <w:kern w:val="0"/>
          <w:sz w:val="32"/>
          <w:szCs w:val="32"/>
          <w:lang w:val="en-US" w:eastAsia="zh-CN"/>
        </w:rPr>
        <w:t>,</w:t>
      </w:r>
      <w:r>
        <w:rPr>
          <w:rFonts w:hint="eastAsia" w:eastAsia="仿宋_GB2312"/>
          <w:kern w:val="0"/>
          <w:sz w:val="32"/>
          <w:szCs w:val="32"/>
          <w:lang w:eastAsia="zh-CN"/>
        </w:rPr>
        <w:t>084</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占12.71%；行政运行7,799,600.22元，占12.17%；生产发展6,974,616.23元，占10.88%；农业生产发展6,819,423.78元，占10.64%；其他城乡社区管理事务支出6,004,275.69元，占9.37%；其他政府办公厅（室）及相关机构事务支出5,414,704.99元，占8.45%；对村民委员会和村党支部的补助4,781,464.00元，占7.46%。</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2023年度一般公共预算财政拨款支出年初预算为17</w:t>
      </w:r>
      <w:r>
        <w:rPr>
          <w:rFonts w:hint="eastAsia" w:eastAsia="仿宋_GB2312"/>
          <w:kern w:val="0"/>
          <w:sz w:val="32"/>
          <w:szCs w:val="32"/>
          <w:lang w:val="en-US" w:eastAsia="zh-CN"/>
        </w:rPr>
        <w:t>,</w:t>
      </w:r>
      <w:r>
        <w:rPr>
          <w:rFonts w:hint="eastAsia" w:eastAsia="仿宋_GB2312"/>
          <w:kern w:val="0"/>
          <w:sz w:val="32"/>
          <w:szCs w:val="32"/>
          <w:lang w:eastAsia="zh-CN"/>
        </w:rPr>
        <w:t>052</w:t>
      </w:r>
      <w:r>
        <w:rPr>
          <w:rFonts w:hint="eastAsia" w:eastAsia="仿宋_GB2312"/>
          <w:kern w:val="0"/>
          <w:sz w:val="32"/>
          <w:szCs w:val="32"/>
          <w:lang w:val="en-US" w:eastAsia="zh-CN"/>
        </w:rPr>
        <w:t>,</w:t>
      </w:r>
      <w:r>
        <w:rPr>
          <w:rFonts w:hint="eastAsia" w:eastAsia="仿宋_GB2312"/>
          <w:kern w:val="0"/>
          <w:sz w:val="32"/>
          <w:szCs w:val="32"/>
          <w:lang w:eastAsia="zh-CN"/>
        </w:rPr>
        <w:t>600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元，支出决算为64</w:t>
      </w:r>
      <w:r>
        <w:rPr>
          <w:rFonts w:hint="eastAsia" w:eastAsia="仿宋_GB2312"/>
          <w:kern w:val="0"/>
          <w:sz w:val="32"/>
          <w:szCs w:val="32"/>
          <w:lang w:val="en-US" w:eastAsia="zh-CN"/>
        </w:rPr>
        <w:t>,</w:t>
      </w:r>
      <w:r>
        <w:rPr>
          <w:rFonts w:hint="eastAsia" w:eastAsia="仿宋_GB2312"/>
          <w:kern w:val="0"/>
          <w:sz w:val="32"/>
          <w:szCs w:val="32"/>
          <w:lang w:eastAsia="zh-CN"/>
        </w:rPr>
        <w:t>078</w:t>
      </w:r>
      <w:r>
        <w:rPr>
          <w:rFonts w:hint="eastAsia" w:eastAsia="仿宋_GB2312"/>
          <w:kern w:val="0"/>
          <w:sz w:val="32"/>
          <w:szCs w:val="32"/>
          <w:lang w:val="en-US" w:eastAsia="zh-CN"/>
        </w:rPr>
        <w:t>,</w:t>
      </w:r>
      <w:r>
        <w:rPr>
          <w:rFonts w:hint="eastAsia" w:eastAsia="仿宋_GB2312"/>
          <w:kern w:val="0"/>
          <w:sz w:val="32"/>
          <w:szCs w:val="32"/>
          <w:lang w:eastAsia="zh-CN"/>
        </w:rPr>
        <w:t>036.7</w:t>
      </w:r>
      <w:r>
        <w:rPr>
          <w:rFonts w:hint="eastAsia" w:eastAsia="仿宋_GB2312"/>
          <w:kern w:val="0"/>
          <w:sz w:val="32"/>
          <w:szCs w:val="32"/>
          <w:lang w:val="en-US" w:eastAsia="zh-CN"/>
        </w:rPr>
        <w:t>0</w:t>
      </w:r>
      <w:r>
        <w:rPr>
          <w:rFonts w:hint="eastAsia" w:eastAsia="仿宋_GB2312"/>
          <w:kern w:val="0"/>
          <w:sz w:val="32"/>
          <w:szCs w:val="32"/>
          <w:lang w:eastAsia="zh-CN"/>
        </w:rPr>
        <w:t>元，完成年初预算的375.77%，其中：</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1.一般公共服务（类）财政事务（款）行政运行（项）。年初预算为8</w:t>
      </w:r>
      <w:r>
        <w:rPr>
          <w:rFonts w:hint="eastAsia" w:eastAsia="仿宋_GB2312"/>
          <w:kern w:val="0"/>
          <w:sz w:val="32"/>
          <w:szCs w:val="32"/>
          <w:lang w:val="en-US" w:eastAsia="zh-CN"/>
        </w:rPr>
        <w:t>,</w:t>
      </w:r>
      <w:r>
        <w:rPr>
          <w:rFonts w:hint="eastAsia" w:eastAsia="仿宋_GB2312"/>
          <w:kern w:val="0"/>
          <w:sz w:val="32"/>
          <w:szCs w:val="32"/>
          <w:lang w:eastAsia="zh-CN"/>
        </w:rPr>
        <w:t>472</w:t>
      </w:r>
      <w:r>
        <w:rPr>
          <w:rFonts w:hint="eastAsia" w:eastAsia="仿宋_GB2312"/>
          <w:kern w:val="0"/>
          <w:sz w:val="32"/>
          <w:szCs w:val="32"/>
          <w:lang w:val="en-US" w:eastAsia="zh-CN"/>
        </w:rPr>
        <w:t>,</w:t>
      </w:r>
      <w:r>
        <w:rPr>
          <w:rFonts w:hint="eastAsia" w:eastAsia="仿宋_GB2312"/>
          <w:kern w:val="0"/>
          <w:sz w:val="32"/>
          <w:szCs w:val="32"/>
          <w:lang w:eastAsia="zh-CN"/>
        </w:rPr>
        <w:t>600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元，支出决算为7,799,600.22元，完成年初预算的92.06%，决算数小于预算数的主要原因是行政管理方面相关支出减少。</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2.一般公共服务（类）财政事务（款）一般行政管理事务（项）。年初预算为727</w:t>
      </w:r>
      <w:r>
        <w:rPr>
          <w:rFonts w:hint="eastAsia" w:eastAsia="仿宋_GB2312"/>
          <w:kern w:val="0"/>
          <w:sz w:val="32"/>
          <w:szCs w:val="32"/>
          <w:lang w:val="en-US" w:eastAsia="zh-CN"/>
        </w:rPr>
        <w:t>,</w:t>
      </w:r>
      <w:r>
        <w:rPr>
          <w:rFonts w:hint="eastAsia" w:eastAsia="仿宋_GB2312"/>
          <w:kern w:val="0"/>
          <w:sz w:val="32"/>
          <w:szCs w:val="32"/>
          <w:lang w:eastAsia="zh-CN"/>
        </w:rPr>
        <w:t>000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w:t>
      </w:r>
      <w:r>
        <w:rPr>
          <w:rFonts w:hint="eastAsia" w:eastAsia="仿宋_GB2312"/>
          <w:color w:val="000000"/>
          <w:kern w:val="0"/>
          <w:sz w:val="32"/>
          <w:szCs w:val="32"/>
        </w:rPr>
        <w:t>355</w:t>
      </w:r>
      <w:r>
        <w:rPr>
          <w:rFonts w:hint="eastAsia" w:eastAsia="仿宋_GB2312"/>
          <w:color w:val="000000"/>
          <w:kern w:val="0"/>
          <w:sz w:val="32"/>
          <w:szCs w:val="32"/>
          <w:lang w:val="en-US" w:eastAsia="zh-CN"/>
        </w:rPr>
        <w:t>,</w:t>
      </w:r>
      <w:r>
        <w:rPr>
          <w:rFonts w:hint="eastAsia" w:eastAsia="仿宋_GB2312"/>
          <w:color w:val="000000"/>
          <w:kern w:val="0"/>
          <w:sz w:val="32"/>
          <w:szCs w:val="32"/>
        </w:rPr>
        <w:t>508.96</w:t>
      </w:r>
      <w:r>
        <w:rPr>
          <w:rFonts w:hint="eastAsia" w:eastAsia="仿宋_GB2312"/>
          <w:kern w:val="0"/>
          <w:sz w:val="32"/>
          <w:szCs w:val="32"/>
          <w:lang w:eastAsia="zh-CN"/>
        </w:rPr>
        <w:t>元，完成年初预算的</w:t>
      </w:r>
      <w:r>
        <w:rPr>
          <w:rFonts w:hint="eastAsia" w:eastAsia="仿宋_GB2312"/>
          <w:color w:val="000000"/>
          <w:kern w:val="0"/>
          <w:sz w:val="32"/>
          <w:szCs w:val="32"/>
          <w:lang w:val="en-US" w:eastAsia="zh-CN"/>
        </w:rPr>
        <w:t>48.90</w:t>
      </w:r>
      <w:r>
        <w:rPr>
          <w:rFonts w:hint="eastAsia" w:eastAsia="仿宋_GB2312"/>
          <w:kern w:val="0"/>
          <w:sz w:val="32"/>
          <w:szCs w:val="32"/>
          <w:lang w:eastAsia="zh-CN"/>
        </w:rPr>
        <w:t>%，决算数小于预算数的主要原因是社会事务管理方面支出减少。</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3.一般公共服务（类）财政事务（款）行政单位离退休（项）。年初预算为334</w:t>
      </w:r>
      <w:r>
        <w:rPr>
          <w:rFonts w:hint="eastAsia" w:eastAsia="仿宋_GB2312"/>
          <w:kern w:val="0"/>
          <w:sz w:val="32"/>
          <w:szCs w:val="32"/>
          <w:lang w:val="en-US" w:eastAsia="zh-CN"/>
        </w:rPr>
        <w:t>,</w:t>
      </w:r>
      <w:r>
        <w:rPr>
          <w:rFonts w:hint="eastAsia" w:eastAsia="仿宋_GB2312"/>
          <w:kern w:val="0"/>
          <w:sz w:val="32"/>
          <w:szCs w:val="32"/>
          <w:lang w:eastAsia="zh-CN"/>
        </w:rPr>
        <w:t>200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元，支出决算为339,046.34元，完成年初预算的101.45%，决算数大于预算数的主要原因是人员基本工资调资。</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4.一般公共服务（类）财政事务（款）机关事业单位职业年金缴费支出（项）。年初预算为375</w:t>
      </w:r>
      <w:r>
        <w:rPr>
          <w:rFonts w:hint="eastAsia" w:eastAsia="仿宋_GB2312"/>
          <w:kern w:val="0"/>
          <w:sz w:val="32"/>
          <w:szCs w:val="32"/>
          <w:lang w:val="en-US" w:eastAsia="zh-CN"/>
        </w:rPr>
        <w:t>,</w:t>
      </w:r>
      <w:r>
        <w:rPr>
          <w:rFonts w:hint="eastAsia" w:eastAsia="仿宋_GB2312"/>
          <w:kern w:val="0"/>
          <w:sz w:val="32"/>
          <w:szCs w:val="32"/>
          <w:lang w:eastAsia="zh-CN"/>
        </w:rPr>
        <w:t>900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元，支出决算为374,893.34元，完成年初预算的99.73%，决算数小于预算数的主要原因是人员基本工资调资和人员岗位变化。</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5.一般公共服务（类）财政事务（款）机关事业单位基本养老保险缴费支出（项）。年初预算为791</w:t>
      </w:r>
      <w:r>
        <w:rPr>
          <w:rFonts w:hint="eastAsia" w:eastAsia="仿宋_GB2312"/>
          <w:kern w:val="0"/>
          <w:sz w:val="32"/>
          <w:szCs w:val="32"/>
          <w:lang w:val="en-US" w:eastAsia="zh-CN"/>
        </w:rPr>
        <w:t>,</w:t>
      </w:r>
      <w:r>
        <w:rPr>
          <w:rFonts w:hint="eastAsia" w:eastAsia="仿宋_GB2312"/>
          <w:kern w:val="0"/>
          <w:sz w:val="32"/>
          <w:szCs w:val="32"/>
          <w:lang w:eastAsia="zh-CN"/>
        </w:rPr>
        <w:t>100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元，支出决算为684,368.75元，完成年初预算的86.51%，决算数小于预算数的主要原因是人员基本工资调资和人员岗位变化。</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6.一般公共服务（类）财政事务（款）行政单位医疗（项）。年初预算为322</w:t>
      </w:r>
      <w:r>
        <w:rPr>
          <w:rFonts w:hint="eastAsia" w:eastAsia="仿宋_GB2312"/>
          <w:kern w:val="0"/>
          <w:sz w:val="32"/>
          <w:szCs w:val="32"/>
          <w:lang w:val="en-US" w:eastAsia="zh-CN"/>
        </w:rPr>
        <w:t>,</w:t>
      </w:r>
      <w:r>
        <w:rPr>
          <w:rFonts w:hint="eastAsia" w:eastAsia="仿宋_GB2312"/>
          <w:kern w:val="0"/>
          <w:sz w:val="32"/>
          <w:szCs w:val="32"/>
          <w:lang w:eastAsia="zh-CN"/>
        </w:rPr>
        <w:t>600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元，支出决算为272,078.92元，完成年初预算的84.34%，决算数小于预算数的主要原因是人员基本工资调资和人员岗位变化，导致本单位医疗项支出减少。</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7.一般公共服务（类）财政事务（款）公务员医疗补助（项）。年初预算为182</w:t>
      </w:r>
      <w:r>
        <w:rPr>
          <w:rFonts w:hint="eastAsia" w:eastAsia="仿宋_GB2312"/>
          <w:kern w:val="0"/>
          <w:sz w:val="32"/>
          <w:szCs w:val="32"/>
          <w:lang w:val="en-US" w:eastAsia="zh-CN"/>
        </w:rPr>
        <w:t>,</w:t>
      </w:r>
      <w:r>
        <w:rPr>
          <w:rFonts w:hint="eastAsia" w:eastAsia="仿宋_GB2312"/>
          <w:kern w:val="0"/>
          <w:sz w:val="32"/>
          <w:szCs w:val="32"/>
          <w:lang w:eastAsia="zh-CN"/>
        </w:rPr>
        <w:t>800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元，支出决算为113,767.08元，完成年初预算的62.24%，决算数小于预算数的主要原因是人员基本工资调资和人员岗位变化，导致本单位医疗项支出减少。</w:t>
      </w:r>
    </w:p>
    <w:p>
      <w:pPr>
        <w:spacing w:line="560" w:lineRule="exact"/>
        <w:ind w:firstLine="640" w:firstLineChars="200"/>
        <w:outlineLvl w:val="1"/>
        <w:rPr>
          <w:rFonts w:hint="eastAsia" w:eastAsia="仿宋_GB2312"/>
          <w:kern w:val="0"/>
          <w:sz w:val="32"/>
          <w:szCs w:val="32"/>
          <w:lang w:eastAsia="zh-CN"/>
        </w:rPr>
      </w:pPr>
      <w:r>
        <w:rPr>
          <w:rFonts w:hint="eastAsia" w:eastAsia="仿宋_GB2312"/>
          <w:kern w:val="0"/>
          <w:sz w:val="32"/>
          <w:szCs w:val="32"/>
          <w:lang w:eastAsia="zh-CN"/>
        </w:rPr>
        <w:t>8.一般公共服务（类）财政事务（款）住房公积金（项）。年初预算为717</w:t>
      </w:r>
      <w:r>
        <w:rPr>
          <w:rFonts w:hint="eastAsia" w:eastAsia="仿宋_GB2312"/>
          <w:kern w:val="0"/>
          <w:sz w:val="32"/>
          <w:szCs w:val="32"/>
          <w:lang w:val="en-US" w:eastAsia="zh-CN"/>
        </w:rPr>
        <w:t>,</w:t>
      </w:r>
      <w:r>
        <w:rPr>
          <w:rFonts w:hint="eastAsia" w:eastAsia="仿宋_GB2312"/>
          <w:kern w:val="0"/>
          <w:sz w:val="32"/>
          <w:szCs w:val="32"/>
          <w:lang w:eastAsia="zh-CN"/>
        </w:rPr>
        <w:t>600</w:t>
      </w:r>
      <w:r>
        <w:rPr>
          <w:rFonts w:hint="eastAsia" w:ascii="楷体_GB2312" w:eastAsia="楷体_GB2312"/>
          <w:b w:val="0"/>
          <w:bCs/>
          <w:color w:val="auto"/>
          <w:kern w:val="0"/>
          <w:sz w:val="32"/>
          <w:szCs w:val="32"/>
          <w:lang w:val="en-US" w:eastAsia="zh-CN"/>
        </w:rPr>
        <w:t>.00</w:t>
      </w:r>
      <w:r>
        <w:rPr>
          <w:rFonts w:hint="eastAsia" w:eastAsia="仿宋_GB2312"/>
          <w:kern w:val="0"/>
          <w:sz w:val="32"/>
          <w:szCs w:val="32"/>
          <w:lang w:eastAsia="zh-CN"/>
        </w:rPr>
        <w:t>元，支出决算为619,575.00元，完成年初预算的86.34%，决算数小于预算数的主要原因是人员基本工资调资和人员岗位变化。</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2023年度一般公共预算财政拨款基本支出15</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150</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619.05元，其中：人员经费27</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964</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707.52元，公用经费2</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336</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530.58元。支出具体情况如下：</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（1）工资福利支出13,632,564.42元，较年初预算8</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676</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500</w:t>
      </w:r>
      <w:r>
        <w:rPr>
          <w:rFonts w:hint="eastAsia" w:ascii="楷体_GB2312" w:eastAsia="楷体_GB2312"/>
          <w:b w:val="0"/>
          <w:bCs/>
          <w:color w:val="auto"/>
          <w:kern w:val="0"/>
          <w:sz w:val="32"/>
          <w:szCs w:val="32"/>
          <w:lang w:val="en-US" w:eastAsia="zh-CN"/>
        </w:rPr>
        <w:t>.00</w:t>
      </w:r>
      <w:r>
        <w:rPr>
          <w:rFonts w:hint="eastAsia" w:ascii="Times New Roman" w:hAnsi="Times New Roman" w:eastAsia="仿宋_GB2312" w:cs="Times New Roman"/>
          <w:color w:val="auto"/>
          <w:sz w:val="32"/>
          <w:szCs w:val="32"/>
          <w:lang w:eastAsia="zh-CN"/>
        </w:rPr>
        <w:t>元数增加4,956,064.42 元，增长57.12%，主要原因是人员职务职级晋升和基本工资上涨；较上年决算数12</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772</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036.09增加860,528.33 元，增长6.74%。</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（2）商品和服务支出1,167,555.29元，较年初预算数750</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600</w:t>
      </w:r>
      <w:r>
        <w:rPr>
          <w:rFonts w:hint="eastAsia" w:ascii="楷体_GB2312" w:eastAsia="楷体_GB2312"/>
          <w:b w:val="0"/>
          <w:bCs/>
          <w:color w:val="auto"/>
          <w:kern w:val="0"/>
          <w:sz w:val="32"/>
          <w:szCs w:val="32"/>
          <w:lang w:val="en-US" w:eastAsia="zh-CN"/>
        </w:rPr>
        <w:t>.00</w:t>
      </w:r>
      <w:r>
        <w:rPr>
          <w:rFonts w:hint="eastAsia" w:ascii="Times New Roman" w:hAnsi="Times New Roman" w:eastAsia="仿宋_GB2312" w:cs="Times New Roman"/>
          <w:color w:val="auto"/>
          <w:sz w:val="32"/>
          <w:szCs w:val="32"/>
          <w:lang w:eastAsia="zh-CN"/>
        </w:rPr>
        <w:t>元增加416,955.29元，增加55.55%，主要原因是相关商品和服务支出增加；较上年决算数812</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935.29元增加354,620</w:t>
      </w:r>
      <w:r>
        <w:rPr>
          <w:rFonts w:hint="eastAsia" w:ascii="楷体_GB2312" w:eastAsia="楷体_GB2312"/>
          <w:b w:val="0"/>
          <w:bCs/>
          <w:color w:val="auto"/>
          <w:kern w:val="0"/>
          <w:sz w:val="32"/>
          <w:szCs w:val="32"/>
          <w:lang w:val="en-US" w:eastAsia="zh-CN"/>
        </w:rPr>
        <w:t>.00</w:t>
      </w:r>
      <w:r>
        <w:rPr>
          <w:rFonts w:hint="eastAsia" w:ascii="Times New Roman" w:hAnsi="Times New Roman" w:eastAsia="仿宋_GB2312" w:cs="Times New Roman"/>
          <w:color w:val="auto"/>
          <w:sz w:val="32"/>
          <w:szCs w:val="32"/>
          <w:lang w:eastAsia="zh-CN"/>
        </w:rPr>
        <w:t>元，增加43.62%。</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（3）对个人和家庭的补助349,789.34元，较年初预算数678</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900</w:t>
      </w:r>
      <w:r>
        <w:rPr>
          <w:rFonts w:hint="eastAsia" w:ascii="楷体_GB2312" w:eastAsia="楷体_GB2312"/>
          <w:b w:val="0"/>
          <w:bCs/>
          <w:color w:val="auto"/>
          <w:kern w:val="0"/>
          <w:sz w:val="32"/>
          <w:szCs w:val="32"/>
          <w:lang w:val="en-US" w:eastAsia="zh-CN"/>
        </w:rPr>
        <w:t>.00</w:t>
      </w:r>
      <w:r>
        <w:rPr>
          <w:rFonts w:hint="eastAsia" w:ascii="Times New Roman" w:hAnsi="Times New Roman" w:eastAsia="仿宋_GB2312" w:cs="Times New Roman"/>
          <w:color w:val="auto"/>
          <w:sz w:val="32"/>
          <w:szCs w:val="32"/>
          <w:lang w:eastAsia="zh-CN"/>
        </w:rPr>
        <w:t>元减少329,110.66元，减少48.48%，主要原因是对困难个人和家庭的补助减少；较上年决算数332</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590.74元增加17,198.6</w:t>
      </w:r>
      <w:r>
        <w:rPr>
          <w:rFonts w:hint="eastAsia"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元，增长5.17%。</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（4）其他资本性支出0元，较年初预算数0元无增减；较上年决算数0元减少0元。</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2023年度“三公”经费一般公共预算财政拨款支出年初预算为84,000.00元，支出决算为72,164.38元，完成年初预算的85.91%，决算数小于年初预算数的主要原因是单位控制公务车辆运行费用。与上年决算76</w:t>
      </w:r>
      <w:r>
        <w:rPr>
          <w:rFonts w:hint="eastAsia" w:eastAsia="仿宋_GB2312"/>
          <w:kern w:val="0"/>
          <w:sz w:val="32"/>
          <w:szCs w:val="32"/>
          <w:lang w:val="en-US" w:eastAsia="zh-CN"/>
        </w:rPr>
        <w:t>,</w:t>
      </w:r>
      <w:r>
        <w:rPr>
          <w:rFonts w:hint="eastAsia" w:eastAsia="仿宋_GB2312"/>
          <w:kern w:val="0"/>
          <w:sz w:val="32"/>
          <w:szCs w:val="32"/>
          <w:lang w:eastAsia="zh-CN"/>
        </w:rPr>
        <w:t>584.88相比，增加4,420.5</w:t>
      </w:r>
      <w:r>
        <w:rPr>
          <w:rFonts w:hint="eastAsia" w:eastAsia="仿宋_GB2312"/>
          <w:kern w:val="0"/>
          <w:sz w:val="32"/>
          <w:szCs w:val="32"/>
          <w:lang w:val="en-US" w:eastAsia="zh-CN"/>
        </w:rPr>
        <w:t>0</w:t>
      </w:r>
      <w:r>
        <w:rPr>
          <w:rFonts w:hint="eastAsia" w:eastAsia="仿宋_GB2312"/>
          <w:kern w:val="0"/>
          <w:sz w:val="32"/>
          <w:szCs w:val="32"/>
          <w:lang w:eastAsia="zh-CN"/>
        </w:rPr>
        <w:t>元，增加5.77%。</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2023年度“三公”经费一般公共预算财政拨款支出决算中，因公出国（境）费支出占0%；公务用车购置及运行费支出占100%；公务接待费支出占0%。具体情况如下：</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1.因公出国（境）费增加（减少）0万元，主要原因是因为上年度都无因公出国（境）费支出，所以没有增减变化情况</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2.公务用车购置及运行维护费。年初预算为84,000.00元，支出决算为72,164.38元，完成年初预算的85.91%，决算数小于年初预算数的主要原因是单位控制公务车辆运行费用；比上年决算76</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584.88增加4,420.5</w:t>
      </w:r>
      <w:r>
        <w:rPr>
          <w:rFonts w:hint="eastAsia"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元，增加5.77%。其中：公务用车运行维护费支出72,164.38元，主要用于公务车辆购买保险，汽油费，车辆保养等费用支出。一般公共预算财政拨款开支的公务用车购置数4辆，公务用车保有量为4辆。</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3.公务接待费增加（减少）0万元，主要原因是上年度和本年度都无公务接待费支出，所以没有增减变化情况。</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金凤区丰登镇人民政府2023年政府性基金预算财政拨款收支情况如下：</w:t>
      </w:r>
    </w:p>
    <w:p>
      <w:pPr>
        <w:spacing w:line="560" w:lineRule="exact"/>
        <w:ind w:firstLine="640" w:firstLineChars="2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年收入为9,788,077.27元，本年支出为9,788,077.27元，年末结转和结余为0。其中，其他国有土地使用权出让收入安排的支出为379,449.27元，征地和拆迁补偿支出为9,400,000.00元，用于社会福利的彩票公益金支出为8,628.00元。</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2023</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2023年度本部门机关运行经费年初预算为</w:t>
      </w:r>
      <w:r>
        <w:rPr>
          <w:rFonts w:hint="eastAsia" w:ascii="Times New Roman" w:hAnsi="Times New Roman" w:eastAsia="仿宋_GB2312" w:cs="Times New Roman"/>
          <w:color w:val="auto"/>
          <w:sz w:val="32"/>
          <w:szCs w:val="32"/>
          <w:lang w:val="en-US" w:eastAsia="zh-CN"/>
        </w:rPr>
        <w:t>1,113,600.93</w:t>
      </w:r>
      <w:r>
        <w:rPr>
          <w:rFonts w:hint="eastAsia" w:ascii="Times New Roman" w:hAnsi="Times New Roman" w:eastAsia="仿宋_GB2312" w:cs="Times New Roman"/>
          <w:color w:val="auto"/>
          <w:sz w:val="32"/>
          <w:szCs w:val="32"/>
          <w:lang w:eastAsia="zh-CN"/>
        </w:rPr>
        <w:t>元，支出决算为</w:t>
      </w:r>
      <w:r>
        <w:rPr>
          <w:rFonts w:hint="eastAsia" w:ascii="Times New Roman" w:hAnsi="Times New Roman" w:eastAsia="仿宋_GB2312" w:cs="Times New Roman"/>
          <w:color w:val="auto"/>
          <w:sz w:val="32"/>
          <w:szCs w:val="32"/>
          <w:lang w:val="en-US" w:eastAsia="zh-CN"/>
        </w:rPr>
        <w:t>1,168,265.29</w:t>
      </w:r>
      <w:r>
        <w:rPr>
          <w:rFonts w:hint="eastAsia" w:ascii="Times New Roman" w:hAnsi="Times New Roman" w:eastAsia="仿宋_GB2312" w:cs="Times New Roman"/>
          <w:color w:val="auto"/>
          <w:sz w:val="32"/>
          <w:szCs w:val="32"/>
          <w:lang w:eastAsia="zh-CN"/>
        </w:rPr>
        <w:t>元，完成年初预算的</w:t>
      </w:r>
      <w:r>
        <w:rPr>
          <w:rFonts w:hint="eastAsia" w:ascii="Times New Roman" w:hAnsi="Times New Roman" w:eastAsia="仿宋_GB2312" w:cs="Times New Roman"/>
          <w:color w:val="auto"/>
          <w:sz w:val="32"/>
          <w:szCs w:val="32"/>
          <w:lang w:val="en-US" w:eastAsia="zh-CN"/>
        </w:rPr>
        <w:t>104.91</w:t>
      </w:r>
      <w:r>
        <w:rPr>
          <w:rFonts w:hint="eastAsia" w:ascii="Times New Roman" w:hAnsi="Times New Roman" w:eastAsia="仿宋_GB2312" w:cs="Times New Roman"/>
          <w:color w:val="auto"/>
          <w:sz w:val="32"/>
          <w:szCs w:val="32"/>
          <w:lang w:eastAsia="zh-CN"/>
        </w:rPr>
        <w:t>%，决算数</w:t>
      </w:r>
      <w:r>
        <w:rPr>
          <w:rFonts w:hint="eastAsia" w:ascii="Times New Roman" w:hAnsi="Times New Roman" w:eastAsia="仿宋_GB2312" w:cs="Times New Roman"/>
          <w:color w:val="auto"/>
          <w:sz w:val="32"/>
          <w:szCs w:val="32"/>
          <w:lang w:val="en-US" w:eastAsia="zh-CN"/>
        </w:rPr>
        <w:t>大于</w:t>
      </w:r>
      <w:r>
        <w:rPr>
          <w:rFonts w:hint="eastAsia" w:ascii="Times New Roman" w:hAnsi="Times New Roman" w:eastAsia="仿宋_GB2312" w:cs="Times New Roman"/>
          <w:color w:val="auto"/>
          <w:sz w:val="32"/>
          <w:szCs w:val="32"/>
          <w:lang w:eastAsia="zh-CN"/>
        </w:rPr>
        <w:t>预算数的主要原因</w:t>
      </w:r>
      <w:r>
        <w:rPr>
          <w:rFonts w:hint="eastAsia" w:ascii="Times New Roman" w:hAnsi="Times New Roman" w:eastAsia="仿宋_GB2312" w:cs="Times New Roman"/>
          <w:color w:val="auto"/>
          <w:sz w:val="32"/>
          <w:szCs w:val="32"/>
          <w:lang w:val="en-US" w:eastAsia="zh-CN"/>
        </w:rPr>
        <w:t>村干部工资增加，公用经费增加</w:t>
      </w:r>
      <w:r>
        <w:rPr>
          <w:rFonts w:hint="eastAsia" w:ascii="Times New Roman" w:hAnsi="Times New Roman" w:eastAsia="仿宋_GB2312" w:cs="Times New Roman"/>
          <w:color w:val="auto"/>
          <w:sz w:val="32"/>
          <w:szCs w:val="32"/>
          <w:lang w:eastAsia="zh-CN"/>
        </w:rPr>
        <w:t>；比上年决算</w:t>
      </w:r>
      <w:r>
        <w:rPr>
          <w:rFonts w:hint="eastAsia" w:ascii="Times New Roman" w:hAnsi="Times New Roman" w:eastAsia="仿宋_GB2312" w:cs="Times New Roman"/>
          <w:color w:val="auto"/>
          <w:sz w:val="32"/>
          <w:szCs w:val="32"/>
          <w:lang w:val="en-US" w:eastAsia="zh-CN"/>
        </w:rPr>
        <w:t>1,193,242.99减少24,977.7</w:t>
      </w:r>
      <w:r>
        <w:rPr>
          <w:rFonts w:hint="eastAsia" w:ascii="Times New Roman" w:hAnsi="Times New Roman" w:eastAsia="仿宋_GB2312" w:cs="Times New Roman"/>
          <w:color w:val="auto"/>
          <w:sz w:val="32"/>
          <w:szCs w:val="32"/>
          <w:lang w:eastAsia="zh-CN"/>
        </w:rPr>
        <w:t>元，</w:t>
      </w:r>
      <w:r>
        <w:rPr>
          <w:rFonts w:hint="eastAsia" w:ascii="Times New Roman" w:hAnsi="Times New Roman" w:eastAsia="仿宋_GB2312" w:cs="Times New Roman"/>
          <w:color w:val="auto"/>
          <w:sz w:val="32"/>
          <w:szCs w:val="32"/>
          <w:lang w:val="en-US" w:eastAsia="zh-CN"/>
        </w:rPr>
        <w:t>减少2.09</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color w:val="FABF8F"/>
          <w:kern w:val="0"/>
          <w:sz w:val="32"/>
          <w:szCs w:val="32"/>
          <w:highlight w:val="none"/>
        </w:rPr>
      </w:pPr>
      <w:r>
        <w:rPr>
          <w:rFonts w:hint="eastAsia" w:eastAsia="仿宋_GB2312"/>
          <w:color w:val="auto"/>
          <w:kern w:val="0"/>
          <w:sz w:val="32"/>
          <w:szCs w:val="32"/>
          <w:highlight w:val="none"/>
          <w:lang w:eastAsia="zh-CN"/>
        </w:rPr>
        <w:t>202</w:t>
      </w:r>
      <w:r>
        <w:rPr>
          <w:rFonts w:hint="eastAsia" w:eastAsia="仿宋_GB2312"/>
          <w:color w:val="auto"/>
          <w:kern w:val="0"/>
          <w:sz w:val="32"/>
          <w:szCs w:val="32"/>
          <w:highlight w:val="none"/>
          <w:lang w:val="en-US" w:eastAsia="zh-CN"/>
        </w:rPr>
        <w:t>3</w:t>
      </w:r>
      <w:r>
        <w:rPr>
          <w:rFonts w:hint="eastAsia" w:eastAsia="仿宋_GB2312"/>
          <w:color w:val="auto"/>
          <w:kern w:val="0"/>
          <w:sz w:val="32"/>
          <w:szCs w:val="32"/>
          <w:highlight w:val="none"/>
          <w:lang w:eastAsia="zh-CN"/>
        </w:rPr>
        <w:t>年</w:t>
      </w:r>
      <w:r>
        <w:rPr>
          <w:rFonts w:eastAsia="仿宋_GB2312"/>
          <w:color w:val="auto"/>
          <w:kern w:val="0"/>
          <w:sz w:val="32"/>
          <w:szCs w:val="32"/>
          <w:highlight w:val="none"/>
        </w:rPr>
        <w:t>度本部门政府采购预算</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元，支出决算总额</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元，</w:t>
      </w:r>
      <w:bookmarkStart w:id="0" w:name="_GoBack"/>
      <w:bookmarkEnd w:id="0"/>
      <w:r>
        <w:rPr>
          <w:rFonts w:eastAsia="仿宋_GB2312"/>
          <w:color w:val="auto"/>
          <w:kern w:val="0"/>
          <w:sz w:val="32"/>
          <w:szCs w:val="32"/>
          <w:highlight w:val="none"/>
        </w:rPr>
        <w:t>完成年初预算的</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spacing w:line="560" w:lineRule="exact"/>
        <w:ind w:firstLine="640" w:firstLineChars="200"/>
        <w:outlineLvl w:val="1"/>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w:t>
      </w:r>
      <w:r>
        <w:rPr>
          <w:rFonts w:eastAsia="仿宋_GB2312"/>
          <w:kern w:val="0"/>
          <w:sz w:val="32"/>
          <w:szCs w:val="32"/>
        </w:rPr>
        <w:t>12月31日，本部门（单位）房屋面积</w:t>
      </w:r>
      <w:r>
        <w:rPr>
          <w:rFonts w:hint="eastAsia" w:eastAsia="仿宋_GB2312"/>
          <w:kern w:val="0"/>
          <w:sz w:val="32"/>
          <w:szCs w:val="32"/>
          <w:lang w:val="en-US" w:eastAsia="zh-CN"/>
        </w:rPr>
        <w:t>4,501</w:t>
      </w:r>
      <w:r>
        <w:rPr>
          <w:rFonts w:eastAsia="仿宋_GB2312"/>
          <w:kern w:val="0"/>
          <w:sz w:val="32"/>
          <w:szCs w:val="32"/>
        </w:rPr>
        <w:t>平方米，共有车辆</w:t>
      </w:r>
      <w:r>
        <w:rPr>
          <w:rFonts w:hint="eastAsia" w:eastAsia="仿宋_GB2312"/>
          <w:kern w:val="0"/>
          <w:sz w:val="32"/>
          <w:szCs w:val="32"/>
          <w:lang w:val="en-US" w:eastAsia="zh-CN"/>
        </w:rPr>
        <w:t>4</w:t>
      </w:r>
      <w:r>
        <w:rPr>
          <w:rFonts w:eastAsia="仿宋_GB2312"/>
          <w:kern w:val="0"/>
          <w:sz w:val="32"/>
          <w:szCs w:val="32"/>
        </w:rPr>
        <w:t>辆，其中：领导干部用车</w:t>
      </w:r>
      <w:r>
        <w:rPr>
          <w:rFonts w:hint="eastAsia" w:eastAsia="仿宋_GB2312"/>
          <w:kern w:val="0"/>
          <w:sz w:val="32"/>
          <w:szCs w:val="32"/>
          <w:lang w:val="en-US" w:eastAsia="zh-CN"/>
        </w:rPr>
        <w:t>2</w:t>
      </w:r>
      <w:r>
        <w:rPr>
          <w:rFonts w:eastAsia="仿宋_GB2312"/>
          <w:kern w:val="0"/>
          <w:sz w:val="32"/>
          <w:szCs w:val="32"/>
        </w:rPr>
        <w:t>辆、一般公务用车</w:t>
      </w:r>
      <w:r>
        <w:rPr>
          <w:rFonts w:hint="eastAsia" w:eastAsia="仿宋_GB2312"/>
          <w:kern w:val="0"/>
          <w:sz w:val="32"/>
          <w:szCs w:val="32"/>
          <w:lang w:val="en-US" w:eastAsia="zh-CN"/>
        </w:rPr>
        <w:t>2</w:t>
      </w:r>
      <w:r>
        <w:rPr>
          <w:rFonts w:eastAsia="仿宋_GB2312"/>
          <w:kern w:val="0"/>
          <w:sz w:val="32"/>
          <w:szCs w:val="32"/>
        </w:rPr>
        <w:t>辆；单价50万元以上通用设备</w:t>
      </w:r>
      <w:r>
        <w:rPr>
          <w:rFonts w:hint="eastAsia" w:eastAsia="仿宋_GB2312"/>
          <w:kern w:val="0"/>
          <w:sz w:val="32"/>
          <w:szCs w:val="32"/>
          <w:lang w:val="en-US" w:eastAsia="zh-CN"/>
        </w:rPr>
        <w:t>0</w:t>
      </w:r>
      <w:r>
        <w:rPr>
          <w:rFonts w:eastAsia="仿宋_GB2312"/>
          <w:kern w:val="0"/>
          <w:sz w:val="32"/>
          <w:szCs w:val="32"/>
        </w:rPr>
        <w:t>台（套），单价100万元（含）以上专用设备</w:t>
      </w:r>
      <w:r>
        <w:rPr>
          <w:rFonts w:hint="eastAsia" w:eastAsia="仿宋_GB2312"/>
          <w:kern w:val="0"/>
          <w:sz w:val="32"/>
          <w:szCs w:val="32"/>
          <w:lang w:val="en-US" w:eastAsia="zh-CN"/>
        </w:rPr>
        <w:t>0</w:t>
      </w:r>
      <w:r>
        <w:rPr>
          <w:rFonts w:eastAsia="仿宋_GB2312"/>
          <w:kern w:val="0"/>
          <w:sz w:val="32"/>
          <w:szCs w:val="32"/>
        </w:rPr>
        <w:t>台（套）。</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kern w:val="0"/>
          <w:sz w:val="32"/>
          <w:szCs w:val="32"/>
          <w:highlight w:val="none"/>
          <w:lang w:val="en-US" w:eastAsia="zh-CN"/>
        </w:rPr>
      </w:pPr>
      <w:r>
        <w:rPr>
          <w:rFonts w:eastAsia="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w:t>
      </w:r>
      <w:r>
        <w:rPr>
          <w:rFonts w:hint="eastAsia" w:ascii="仿宋_GB2312" w:hAnsi="仿宋_GB2312" w:eastAsia="仿宋_GB2312" w:cs="仿宋_GB2312"/>
          <w:kern w:val="0"/>
          <w:sz w:val="32"/>
          <w:szCs w:val="32"/>
          <w:lang w:val="en-US" w:eastAsia="zh-CN"/>
        </w:rPr>
        <w:t>部门组织对2023年度一般公共预</w:t>
      </w:r>
      <w:r>
        <w:rPr>
          <w:rFonts w:hint="eastAsia" w:ascii="仿宋_GB2312" w:hAnsi="仿宋_GB2312" w:eastAsia="仿宋_GB2312" w:cs="仿宋_GB2312"/>
          <w:kern w:val="0"/>
          <w:sz w:val="32"/>
          <w:szCs w:val="32"/>
          <w:highlight w:val="none"/>
          <w:lang w:val="en-US" w:eastAsia="zh-CN"/>
        </w:rPr>
        <w:t>算项目支出全面开展绩效自评。涉及项目17个，涉及资金48,927,417.65元，占一般公共预算项目支出总额的76.36%。</w:t>
      </w:r>
    </w:p>
    <w:p>
      <w:pPr>
        <w:spacing w:line="560" w:lineRule="exact"/>
        <w:ind w:firstLine="640" w:firstLineChars="200"/>
        <w:outlineLvl w:val="1"/>
        <w:rPr>
          <w:rFonts w:eastAsia="仿宋_GB2312"/>
          <w:b/>
          <w:bCs/>
          <w:color w:val="FF0000"/>
          <w:kern w:val="0"/>
          <w:sz w:val="32"/>
          <w:szCs w:val="32"/>
        </w:rPr>
      </w:pPr>
      <w:r>
        <w:rPr>
          <w:rFonts w:hint="eastAsia" w:ascii="仿宋_GB2312" w:hAnsi="仿宋_GB2312" w:eastAsia="仿宋_GB2312" w:cs="仿宋_GB2312"/>
          <w:kern w:val="0"/>
          <w:sz w:val="32"/>
          <w:szCs w:val="32"/>
          <w:lang w:val="en-US" w:eastAsia="zh-CN"/>
        </w:rPr>
        <w:t>共组织对人大代表</w:t>
      </w:r>
      <w:r>
        <w:rPr>
          <w:rFonts w:hint="eastAsia" w:ascii="仿宋_GB2312" w:hAnsi="仿宋_GB2312" w:eastAsia="仿宋_GB2312" w:cs="仿宋_GB2312"/>
          <w:kern w:val="0"/>
          <w:sz w:val="32"/>
          <w:szCs w:val="32"/>
        </w:rPr>
        <w:t>活动经费、乡村治理专项经费项目等</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rPr>
        <w:t>个项目开展了重点绩效评价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从评价情况来看，</w:t>
      </w:r>
      <w:r>
        <w:rPr>
          <w:rFonts w:hint="eastAsia" w:ascii="仿宋_GB2312" w:hAnsi="仿宋_GB2312" w:eastAsia="仿宋_GB2312" w:cs="仿宋_GB2312"/>
          <w:kern w:val="0"/>
          <w:sz w:val="32"/>
          <w:szCs w:val="32"/>
          <w:lang w:val="en-US" w:eastAsia="zh-CN"/>
        </w:rPr>
        <w:t>2023年丰登镇积极履职，强化管理，较好的完成了年度工作目标。通过加强预算收支管理，不断建立健全内部管理制度，梳理内部管理流程，整体支出管理水平得到提升。</w:t>
      </w:r>
    </w:p>
    <w:p>
      <w:pPr>
        <w:spacing w:line="560" w:lineRule="exact"/>
        <w:ind w:firstLine="643" w:firstLineChars="200"/>
        <w:outlineLvl w:val="1"/>
        <w:rPr>
          <w:rFonts w:hint="default" w:ascii="Times New Roman" w:hAnsi="Times New Roman" w:eastAsia="仿宋_GB2312" w:cs="Times New Roman"/>
          <w:kern w:val="0"/>
          <w:sz w:val="32"/>
          <w:szCs w:val="32"/>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hint="eastAsia" w:eastAsia="仿宋_GB2312" w:cs="Times New Roman"/>
          <w:kern w:val="0"/>
          <w:sz w:val="32"/>
          <w:szCs w:val="32"/>
          <w:lang w:val="en-US" w:eastAsia="zh-CN"/>
        </w:rPr>
        <w:t>2023年丰登镇综合执法经费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95</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2023年丰登镇武装部经费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91</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2023年丰登镇乡村治理专项经费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2023年丰登镇团组织建设经费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94</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2023年丰登镇食堂运营经费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2023年丰登镇人民调解员工作经费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95</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2023年丰登镇人大工作经费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99</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2023年丰登镇妇联工作经费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97</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2023年丰登镇政协联络委员会活动经费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99</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2023年丰登镇信访工作人员津贴经费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2023年丰登镇信访维稳工作经费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2023年丰登镇党务工作者经费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2023年丰登镇村级党组织建设经费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2023年丰登镇村干部支出经费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2023年丰登镇村民小组长补助经费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2023年丰登镇村监会成员工资补贴经费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99</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2023年丰登镇残疾人工作经费</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96</w:t>
      </w:r>
      <w:r>
        <w:rPr>
          <w:rFonts w:hint="default" w:ascii="Times New Roman" w:hAnsi="Times New Roman" w:eastAsia="仿宋_GB2312" w:cs="Times New Roman"/>
          <w:kern w:val="0"/>
          <w:sz w:val="32"/>
          <w:szCs w:val="32"/>
        </w:rPr>
        <w:t>分</w:t>
      </w:r>
      <w:r>
        <w:rPr>
          <w:rFonts w:hint="eastAsia" w:eastAsia="仿宋_GB2312" w:cs="Times New Roman"/>
          <w:kern w:val="0"/>
          <w:sz w:val="32"/>
          <w:szCs w:val="32"/>
          <w:lang w:eastAsia="zh-CN"/>
        </w:rPr>
        <w:t>。</w:t>
      </w:r>
    </w:p>
    <w:p>
      <w:pPr>
        <w:spacing w:line="560" w:lineRule="exact"/>
        <w:ind w:firstLine="640" w:firstLineChars="200"/>
        <w:outlineLvl w:val="1"/>
        <w:rPr>
          <w:rFonts w:eastAsia="仿宋_GB2312"/>
          <w:kern w:val="0"/>
          <w:sz w:val="32"/>
          <w:szCs w:val="32"/>
        </w:rPr>
      </w:pP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2023年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eastAsia="仿宋_GB2312"/>
          <w:color w:val="FF0000"/>
          <w:kern w:val="0"/>
          <w:sz w:val="32"/>
          <w:szCs w:val="32"/>
        </w:rPr>
      </w:pPr>
      <w:r>
        <w:rPr>
          <w:rFonts w:eastAsia="仿宋_GB2312"/>
          <w:color w:val="FF0000"/>
          <w:kern w:val="0"/>
          <w:sz w:val="32"/>
          <w:szCs w:val="32"/>
        </w:rPr>
        <w:br w:type="page"/>
      </w:r>
    </w:p>
    <w:p>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snapToGrid w:val="0"/>
        <w:spacing w:line="560" w:lineRule="exact"/>
        <w:ind w:firstLine="640" w:firstLineChars="200"/>
        <w:rPr>
          <w:rFonts w:hint="eastAsia" w:eastAsia="仿宋_GB2312"/>
          <w:color w:val="000000"/>
          <w:kern w:val="0"/>
          <w:sz w:val="32"/>
          <w:szCs w:val="32"/>
          <w:lang w:val="en-US" w:eastAsia="zh-CN"/>
        </w:rPr>
      </w:pPr>
    </w:p>
    <w:p>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附件：《2023年度项目支出绩效自评表》</w:t>
      </w:r>
    </w:p>
    <w:p>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ZThmZjlkNWEwMWQxM2ZlMTA2NGIxZTQ5MDMzMGMifQ=="/>
  </w:docVars>
  <w:rsids>
    <w:rsidRoot w:val="00172A27"/>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4A6745F"/>
    <w:rsid w:val="06AA5EE6"/>
    <w:rsid w:val="09AC4531"/>
    <w:rsid w:val="0B5C49A1"/>
    <w:rsid w:val="0BF423F2"/>
    <w:rsid w:val="13D0165E"/>
    <w:rsid w:val="184C31D9"/>
    <w:rsid w:val="19211699"/>
    <w:rsid w:val="1A495786"/>
    <w:rsid w:val="1C836E02"/>
    <w:rsid w:val="1DF24184"/>
    <w:rsid w:val="234D2A40"/>
    <w:rsid w:val="251742C5"/>
    <w:rsid w:val="25297378"/>
    <w:rsid w:val="265E57E0"/>
    <w:rsid w:val="2A0C20A6"/>
    <w:rsid w:val="2A471129"/>
    <w:rsid w:val="2AB2772C"/>
    <w:rsid w:val="30664910"/>
    <w:rsid w:val="33BC222F"/>
    <w:rsid w:val="3524554B"/>
    <w:rsid w:val="357353D6"/>
    <w:rsid w:val="384B3E24"/>
    <w:rsid w:val="39946B9D"/>
    <w:rsid w:val="3AF4429E"/>
    <w:rsid w:val="3CF615DE"/>
    <w:rsid w:val="3DE91B26"/>
    <w:rsid w:val="3E60543D"/>
    <w:rsid w:val="3F3C1AE3"/>
    <w:rsid w:val="3FBE4053"/>
    <w:rsid w:val="456C0B61"/>
    <w:rsid w:val="45A7719E"/>
    <w:rsid w:val="468074A8"/>
    <w:rsid w:val="47E319DC"/>
    <w:rsid w:val="491F7C63"/>
    <w:rsid w:val="4A5E7E75"/>
    <w:rsid w:val="4BF22C3D"/>
    <w:rsid w:val="4FB976A3"/>
    <w:rsid w:val="52AA4194"/>
    <w:rsid w:val="550408AC"/>
    <w:rsid w:val="55A63B45"/>
    <w:rsid w:val="576764AE"/>
    <w:rsid w:val="59941FB8"/>
    <w:rsid w:val="59F86F12"/>
    <w:rsid w:val="5C1F4A0C"/>
    <w:rsid w:val="5CFB76DC"/>
    <w:rsid w:val="638E63B9"/>
    <w:rsid w:val="66BC67C3"/>
    <w:rsid w:val="68336662"/>
    <w:rsid w:val="68772899"/>
    <w:rsid w:val="68A9378B"/>
    <w:rsid w:val="6CF939C2"/>
    <w:rsid w:val="6D51190A"/>
    <w:rsid w:val="6E04101A"/>
    <w:rsid w:val="703F761C"/>
    <w:rsid w:val="70A31D96"/>
    <w:rsid w:val="70A95AA7"/>
    <w:rsid w:val="7279549D"/>
    <w:rsid w:val="74F33F23"/>
    <w:rsid w:val="7D0D0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7348</Words>
  <Characters>8199</Characters>
  <Lines>1</Lines>
  <Paragraphs>1</Paragraphs>
  <TotalTime>3</TotalTime>
  <ScaleCrop>false</ScaleCrop>
  <LinksUpToDate>false</LinksUpToDate>
  <CharactersWithSpaces>8559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密室游鱼、</cp:lastModifiedBy>
  <cp:lastPrinted>2021-11-30T08:18:00Z</cp:lastPrinted>
  <dcterms:modified xsi:type="dcterms:W3CDTF">2024-09-24T03:11:44Z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78A8A3D952FF4986B3CA22567B2DC46A_13</vt:lpwstr>
  </property>
</Properties>
</file>