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640"/>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 xml:space="preserve"> 银川市金凤区</w:t>
      </w:r>
      <w:r>
        <w:rPr>
          <w:rFonts w:hint="eastAsia" w:asciiTheme="majorEastAsia" w:hAnsiTheme="majorEastAsia" w:eastAsiaTheme="majorEastAsia" w:cstheme="majorEastAsia"/>
          <w:b/>
          <w:color w:val="000000"/>
          <w:kern w:val="0"/>
          <w:sz w:val="44"/>
          <w:szCs w:val="44"/>
          <w:lang w:val="en-US" w:eastAsia="zh-CN"/>
        </w:rPr>
        <w:t>园子</w:t>
      </w:r>
      <w:r>
        <w:rPr>
          <w:rFonts w:hint="eastAsia" w:asciiTheme="majorEastAsia" w:hAnsiTheme="majorEastAsia" w:eastAsiaTheme="majorEastAsia" w:cstheme="majorEastAsia"/>
          <w:b/>
          <w:color w:val="000000"/>
          <w:kern w:val="0"/>
          <w:sz w:val="44"/>
          <w:szCs w:val="44"/>
        </w:rPr>
        <w:t>幼儿园</w:t>
      </w:r>
    </w:p>
    <w:p>
      <w:pPr>
        <w:widowControl/>
        <w:spacing w:line="360" w:lineRule="auto"/>
        <w:ind w:right="640"/>
        <w:jc w:val="center"/>
        <w:rPr>
          <w:rFonts w:asciiTheme="majorEastAsia" w:hAnsiTheme="majorEastAsia" w:eastAsiaTheme="majorEastAsia" w:cstheme="majorEastAsia"/>
          <w:b/>
          <w:color w:val="000000"/>
          <w:kern w:val="0"/>
          <w:sz w:val="44"/>
          <w:szCs w:val="44"/>
        </w:rPr>
      </w:pPr>
      <w:r>
        <w:rPr>
          <w:rFonts w:hint="eastAsia" w:asciiTheme="majorEastAsia" w:hAnsiTheme="majorEastAsia" w:eastAsiaTheme="majorEastAsia" w:cstheme="majorEastAsia"/>
          <w:b/>
          <w:color w:val="000000"/>
          <w:kern w:val="0"/>
          <w:sz w:val="44"/>
          <w:szCs w:val="44"/>
        </w:rPr>
        <w:t>202</w:t>
      </w:r>
      <w:r>
        <w:rPr>
          <w:rFonts w:asciiTheme="majorEastAsia" w:hAnsiTheme="majorEastAsia" w:eastAsiaTheme="majorEastAsia" w:cstheme="majorEastAsia"/>
          <w:b/>
          <w:color w:val="000000"/>
          <w:kern w:val="0"/>
          <w:sz w:val="44"/>
          <w:szCs w:val="44"/>
        </w:rPr>
        <w:t>1</w:t>
      </w:r>
      <w:r>
        <w:rPr>
          <w:rFonts w:hint="eastAsia" w:asciiTheme="majorEastAsia" w:hAnsiTheme="majorEastAsia" w:eastAsiaTheme="majorEastAsia" w:cstheme="majorEastAsia"/>
          <w:b/>
          <w:color w:val="000000"/>
          <w:kern w:val="0"/>
          <w:sz w:val="44"/>
          <w:szCs w:val="44"/>
        </w:rPr>
        <w:t>年部门预算</w:t>
      </w: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bookmarkStart w:id="0" w:name="_Hlk32687985"/>
    </w:p>
    <w:p>
      <w:pPr>
        <w:widowControl/>
        <w:ind w:left="2100" w:leftChars="1000" w:firstLine="2160" w:firstLineChars="600"/>
        <w:jc w:val="left"/>
        <w:outlineLvl w:val="1"/>
        <w:rPr>
          <w:rFonts w:hint="eastAsia" w:ascii="仿宋_GB2312" w:hAnsi="宋体" w:eastAsia="仿宋_GB2312"/>
          <w:b/>
          <w:kern w:val="0"/>
          <w:sz w:val="36"/>
          <w:szCs w:val="36"/>
        </w:rPr>
      </w:pPr>
    </w:p>
    <w:p>
      <w:pPr>
        <w:widowControl/>
        <w:ind w:left="2100" w:leftChars="1000" w:firstLine="2160" w:firstLineChars="600"/>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hint="eastAsia" w:ascii="仿宋_GB2312" w:hAnsi="宋体" w:eastAsia="仿宋_GB2312"/>
          <w:b/>
          <w:kern w:val="0"/>
          <w:sz w:val="36"/>
          <w:szCs w:val="36"/>
        </w:rPr>
      </w:pPr>
    </w:p>
    <w:p>
      <w:pPr>
        <w:widowControl/>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金凤区</w:t>
      </w:r>
      <w:r>
        <w:rPr>
          <w:rFonts w:hint="eastAsia" w:ascii="仿宋_GB2312" w:hAnsi="宋体" w:eastAsia="仿宋_GB2312"/>
          <w:b/>
          <w:kern w:val="0"/>
          <w:sz w:val="36"/>
          <w:szCs w:val="36"/>
          <w:lang w:val="en-US" w:eastAsia="zh-CN"/>
        </w:rPr>
        <w:t>园子</w:t>
      </w:r>
      <w:r>
        <w:rPr>
          <w:rFonts w:hint="eastAsia" w:ascii="仿宋_GB2312" w:hAnsi="宋体" w:eastAsia="仿宋_GB2312"/>
          <w:b/>
          <w:kern w:val="0"/>
          <w:sz w:val="36"/>
          <w:szCs w:val="36"/>
        </w:rPr>
        <w:t>幼儿园</w:t>
      </w:r>
      <w:bookmarkEnd w:id="0"/>
      <w:r>
        <w:rPr>
          <w:rFonts w:hint="eastAsia" w:ascii="仿宋_GB2312" w:hAnsi="宋体" w:eastAsia="仿宋_GB2312"/>
          <w:b/>
          <w:kern w:val="0"/>
          <w:sz w:val="36"/>
          <w:szCs w:val="36"/>
        </w:rPr>
        <w:t>202</w:t>
      </w:r>
      <w:r>
        <w:rPr>
          <w:rFonts w:ascii="仿宋_GB2312" w:hAnsi="宋体" w:eastAsia="仿宋_GB2312"/>
          <w:b/>
          <w:kern w:val="0"/>
          <w:sz w:val="36"/>
          <w:szCs w:val="36"/>
        </w:rPr>
        <w:t>1</w:t>
      </w:r>
      <w:r>
        <w:rPr>
          <w:rFonts w:hint="eastAsia" w:ascii="仿宋_GB2312" w:hAnsi="宋体" w:eastAsia="仿宋_GB2312"/>
          <w:b/>
          <w:kern w:val="0"/>
          <w:sz w:val="36"/>
          <w:szCs w:val="36"/>
        </w:rPr>
        <w:t>年部门预算</w:t>
      </w:r>
    </w:p>
    <w:p>
      <w:pPr>
        <w:widowControl/>
        <w:ind w:firstLine="2880" w:firstLineChars="8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——单位概况</w:t>
      </w:r>
    </w:p>
    <w:p>
      <w:pPr>
        <w:widowControl/>
        <w:spacing w:line="560" w:lineRule="exact"/>
        <w:ind w:firstLine="640"/>
        <w:jc w:val="left"/>
        <w:rPr>
          <w:rFonts w:ascii="黑体" w:hAnsi="黑体" w:eastAsia="黑体" w:cs="宋体"/>
          <w:b/>
          <w:bCs/>
          <w:kern w:val="0"/>
          <w:sz w:val="32"/>
          <w:szCs w:val="32"/>
        </w:rPr>
      </w:pPr>
      <w:r>
        <w:rPr>
          <w:rFonts w:hint="eastAsia" w:ascii="黑体" w:hAnsi="黑体" w:eastAsia="黑体" w:cs="宋体"/>
          <w:b/>
          <w:bCs/>
          <w:kern w:val="0"/>
          <w:sz w:val="32"/>
          <w:szCs w:val="32"/>
        </w:rPr>
        <w:t>一、主要职能</w:t>
      </w:r>
    </w:p>
    <w:p>
      <w:pPr>
        <w:widowControl/>
        <w:spacing w:line="560" w:lineRule="exact"/>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1、认真贯彻执行党和国家的有关法律法规、方针、政策，坚持民主管理，依法办园，执行上级主管部门的指示和决定。</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2、实行保育和教育相结合的原则，对幼儿实施体、智、德、美诸方面全面发展的教育，促进其身心和谐发展。为家长解除后顾之忧，热忱为家长服务。</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3、尊重儿童的人格尊严和基本权利，尊重儿童身心发展的特点和规律，为儿童提供健康、丰富的生活和活动环境。合理组织幼儿一日生活活动和其它活动，促进幼儿体智德美等和谐发展，全面实施素质教育。</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4、严格执行幼儿园安全、卫生保健制度，保证幼儿身心健康和生命安全。</w:t>
      </w:r>
    </w:p>
    <w:p>
      <w:pPr>
        <w:widowControl/>
        <w:spacing w:line="560" w:lineRule="exact"/>
        <w:ind w:firstLine="640" w:firstLineChars="200"/>
        <w:jc w:val="left"/>
        <w:rPr>
          <w:rFonts w:ascii="仿宋" w:hAnsi="仿宋" w:eastAsia="仿宋" w:cs="仿宋"/>
          <w:color w:val="000000"/>
          <w:sz w:val="32"/>
          <w:szCs w:val="32"/>
        </w:rPr>
      </w:pPr>
      <w:r>
        <w:rPr>
          <w:rFonts w:hint="eastAsia" w:ascii="仿宋" w:hAnsi="仿宋" w:eastAsia="仿宋" w:cs="仿宋"/>
          <w:color w:val="000000"/>
          <w:sz w:val="32"/>
          <w:szCs w:val="32"/>
        </w:rPr>
        <w:t>5、充分利用幼儿和社区的资源优势，面向家长开展多种形式的早期教育宣传、指导等服务，促进家庭教育质量的不断提高。</w:t>
      </w:r>
    </w:p>
    <w:p>
      <w:pPr>
        <w:widowControl/>
        <w:spacing w:line="560" w:lineRule="exact"/>
        <w:ind w:firstLine="48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w:t>
      </w:r>
    </w:p>
    <w:p>
      <w:pPr>
        <w:widowControl/>
        <w:spacing w:line="560" w:lineRule="exact"/>
        <w:ind w:firstLine="480"/>
        <w:jc w:val="left"/>
        <w:rPr>
          <w:rFonts w:ascii="黑体" w:hAnsi="黑体" w:eastAsia="黑体" w:cs="宋体"/>
          <w:b/>
          <w:bCs/>
          <w:kern w:val="0"/>
          <w:sz w:val="32"/>
          <w:szCs w:val="32"/>
        </w:rPr>
      </w:pPr>
      <w:r>
        <w:rPr>
          <w:rFonts w:hint="eastAsia" w:ascii="黑体" w:hAnsi="黑体" w:eastAsia="黑体" w:cs="宋体"/>
          <w:b/>
          <w:bCs/>
          <w:kern w:val="0"/>
          <w:sz w:val="32"/>
          <w:szCs w:val="32"/>
        </w:rPr>
        <w:t>二、部门预算单位构成</w:t>
      </w:r>
    </w:p>
    <w:p>
      <w:pPr>
        <w:widowControl/>
        <w:spacing w:line="560" w:lineRule="exact"/>
        <w:jc w:val="left"/>
        <w:rPr>
          <w:rFonts w:ascii="仿宋_GB2312" w:hAnsi="宋体" w:eastAsia="仿宋_GB2312"/>
          <w:b/>
          <w:kern w:val="0"/>
          <w:sz w:val="36"/>
          <w:szCs w:val="36"/>
        </w:rPr>
        <w:sectPr>
          <w:pgSz w:w="11906" w:h="16838"/>
          <w:pgMar w:top="1440" w:right="1797" w:bottom="1440" w:left="1797" w:header="851" w:footer="992" w:gutter="0"/>
          <w:cols w:space="720" w:num="1"/>
          <w:docGrid w:type="linesAndChars" w:linePitch="312" w:charSpace="0"/>
        </w:sectPr>
      </w:pPr>
      <w:r>
        <w:rPr>
          <w:rFonts w:hint="eastAsia" w:ascii="黑体" w:hAnsi="黑体" w:eastAsia="黑体" w:cs="宋体"/>
          <w:b/>
          <w:bCs/>
          <w:kern w:val="0"/>
          <w:sz w:val="32"/>
          <w:szCs w:val="32"/>
        </w:rPr>
        <w:t xml:space="preserve">   </w:t>
      </w:r>
      <w:r>
        <w:rPr>
          <w:rFonts w:hint="eastAsia" w:ascii="仿宋" w:hAnsi="仿宋" w:eastAsia="仿宋" w:cs="宋体"/>
          <w:b/>
          <w:bCs/>
          <w:kern w:val="0"/>
          <w:sz w:val="32"/>
          <w:szCs w:val="32"/>
        </w:rPr>
        <w:t xml:space="preserve"> </w:t>
      </w:r>
      <w:r>
        <w:rPr>
          <w:rFonts w:hint="eastAsia" w:ascii="仿宋" w:hAnsi="Calibri" w:eastAsia="仿宋" w:cs="宋体"/>
          <w:color w:val="000000"/>
          <w:kern w:val="0"/>
          <w:sz w:val="32"/>
          <w:szCs w:val="32"/>
        </w:rPr>
        <w:t>我园为独立核算、差额拨款事业单位，执行</w:t>
      </w:r>
      <w:r>
        <w:rPr>
          <w:rFonts w:hint="eastAsia" w:ascii="仿宋" w:hAnsi="Calibri" w:eastAsia="仿宋" w:cs="宋体"/>
          <w:color w:val="000000"/>
          <w:kern w:val="0"/>
          <w:sz w:val="32"/>
          <w:szCs w:val="32"/>
          <w:lang w:val="en-US" w:eastAsia="zh-CN"/>
        </w:rPr>
        <w:t>政府</w:t>
      </w:r>
      <w:r>
        <w:rPr>
          <w:rFonts w:hint="eastAsia" w:ascii="仿宋" w:hAnsi="Calibri" w:eastAsia="仿宋" w:cs="宋体"/>
          <w:color w:val="000000"/>
          <w:kern w:val="0"/>
          <w:sz w:val="32"/>
          <w:szCs w:val="32"/>
        </w:rPr>
        <w:t>会计制度，预算级次为一级预算单位。</w:t>
      </w:r>
    </w:p>
    <w:p>
      <w:pPr>
        <w:widowControl/>
        <w:jc w:val="left"/>
        <w:outlineLvl w:val="1"/>
        <w:rPr>
          <w:rFonts w:ascii="仿宋_GB2312" w:hAnsi="宋体" w:eastAsia="仿宋_GB2312"/>
          <w:b/>
          <w:kern w:val="0"/>
          <w:sz w:val="36"/>
          <w:szCs w:val="36"/>
        </w:rPr>
      </w:pPr>
    </w:p>
    <w:p>
      <w:pPr>
        <w:widowControl/>
        <w:ind w:firstLine="2520" w:firstLineChars="700"/>
        <w:jc w:val="left"/>
        <w:outlineLvl w:val="1"/>
        <w:rPr>
          <w:rFonts w:ascii="仿宋_GB2312" w:hAnsi="宋体" w:eastAsia="仿宋_GB2312"/>
          <w:b/>
          <w:kern w:val="0"/>
          <w:sz w:val="36"/>
          <w:szCs w:val="36"/>
        </w:rPr>
      </w:pPr>
      <w:r>
        <w:rPr>
          <w:rFonts w:hint="eastAsia" w:ascii="仿宋_GB2312" w:hAnsi="宋体" w:eastAsia="仿宋_GB2312"/>
          <w:b/>
          <w:kern w:val="0"/>
          <w:sz w:val="36"/>
          <w:szCs w:val="36"/>
        </w:rPr>
        <w:t>银川市金凤区</w:t>
      </w:r>
      <w:r>
        <w:rPr>
          <w:rFonts w:hint="eastAsia" w:ascii="仿宋_GB2312" w:hAnsi="宋体" w:eastAsia="仿宋_GB2312"/>
          <w:b/>
          <w:kern w:val="0"/>
          <w:sz w:val="36"/>
          <w:szCs w:val="36"/>
          <w:lang w:val="en-US" w:eastAsia="zh-CN"/>
        </w:rPr>
        <w:t>园子</w:t>
      </w:r>
      <w:r>
        <w:rPr>
          <w:rFonts w:hint="eastAsia" w:ascii="仿宋_GB2312" w:hAnsi="宋体" w:eastAsia="仿宋_GB2312"/>
          <w:b/>
          <w:kern w:val="0"/>
          <w:sz w:val="36"/>
          <w:szCs w:val="36"/>
        </w:rPr>
        <w:t>幼儿园2021年部门预算——预算表</w:t>
      </w: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一、财政拨款收支预算表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财政拨款收支预算表</w:t>
      </w:r>
    </w:p>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3860"/>
        <w:gridCol w:w="1360"/>
        <w:gridCol w:w="3860"/>
        <w:gridCol w:w="1360"/>
        <w:gridCol w:w="1360"/>
        <w:gridCol w:w="1360"/>
      </w:tblGrid>
      <w:tr>
        <w:tblPrEx>
          <w:tblCellMar>
            <w:top w:w="0" w:type="dxa"/>
            <w:left w:w="108" w:type="dxa"/>
            <w:bottom w:w="0" w:type="dxa"/>
            <w:right w:w="108" w:type="dxa"/>
          </w:tblCellMar>
        </w:tblPrEx>
        <w:trPr>
          <w:trHeight w:val="308" w:hRule="atLeast"/>
        </w:trPr>
        <w:tc>
          <w:tcPr>
            <w:tcW w:w="5220" w:type="dxa"/>
            <w:gridSpan w:val="2"/>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收     入</w:t>
            </w:r>
          </w:p>
        </w:tc>
        <w:tc>
          <w:tcPr>
            <w:tcW w:w="7940"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支     出</w:t>
            </w:r>
          </w:p>
        </w:tc>
      </w:tr>
      <w:tr>
        <w:tblPrEx>
          <w:tblCellMar>
            <w:top w:w="0" w:type="dxa"/>
            <w:left w:w="108" w:type="dxa"/>
            <w:bottom w:w="0" w:type="dxa"/>
            <w:right w:w="108" w:type="dxa"/>
          </w:tblCellMar>
        </w:tblPrEx>
        <w:trPr>
          <w:trHeight w:val="315" w:hRule="atLeast"/>
        </w:trPr>
        <w:tc>
          <w:tcPr>
            <w:tcW w:w="386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    目</w:t>
            </w:r>
          </w:p>
        </w:tc>
        <w:tc>
          <w:tcPr>
            <w:tcW w:w="13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c>
          <w:tcPr>
            <w:tcW w:w="386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项目（按功能分类）</w:t>
            </w:r>
          </w:p>
        </w:tc>
        <w:tc>
          <w:tcPr>
            <w:tcW w:w="408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预算数</w:t>
            </w:r>
          </w:p>
        </w:tc>
      </w:tr>
      <w:tr>
        <w:tblPrEx>
          <w:tblCellMar>
            <w:top w:w="0" w:type="dxa"/>
            <w:left w:w="108" w:type="dxa"/>
            <w:bottom w:w="0" w:type="dxa"/>
            <w:right w:w="108" w:type="dxa"/>
          </w:tblCellMar>
        </w:tblPrEx>
        <w:trPr>
          <w:trHeight w:val="1005" w:hRule="atLeast"/>
        </w:trPr>
        <w:tc>
          <w:tcPr>
            <w:tcW w:w="386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3860" w:type="dxa"/>
            <w:vMerge w:val="continue"/>
            <w:tcBorders>
              <w:top w:val="nil"/>
              <w:left w:val="nil"/>
              <w:bottom w:val="single" w:color="000000" w:sz="4" w:space="0"/>
              <w:right w:val="single" w:color="000000" w:sz="4" w:space="0"/>
            </w:tcBorders>
            <w:vAlign w:val="center"/>
          </w:tcPr>
          <w:p>
            <w:pPr>
              <w:widowControl/>
              <w:jc w:val="left"/>
              <w:rPr>
                <w:rFonts w:ascii="宋体" w:hAnsi="宋体" w:cs="Arial"/>
                <w:b/>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小计</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一般公共预算财政拨款支出</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b/>
                <w:color w:val="000000"/>
                <w:kern w:val="0"/>
                <w:sz w:val="22"/>
                <w:szCs w:val="22"/>
              </w:rPr>
            </w:pPr>
            <w:r>
              <w:rPr>
                <w:rFonts w:hint="eastAsia" w:ascii="宋体" w:hAnsi="宋体" w:cs="Arial"/>
                <w:b/>
                <w:color w:val="000000"/>
                <w:kern w:val="0"/>
                <w:sz w:val="22"/>
                <w:szCs w:val="22"/>
              </w:rPr>
              <w:t>政府性基金预算财政拨款支出</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一、本年收入</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13.2449</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一、本年支出</w:t>
            </w:r>
          </w:p>
        </w:tc>
        <w:tc>
          <w:tcPr>
            <w:tcW w:w="1360" w:type="dxa"/>
            <w:tcBorders>
              <w:top w:val="nil"/>
              <w:left w:val="nil"/>
              <w:bottom w:val="single" w:color="000000" w:sz="4" w:space="0"/>
              <w:right w:val="single" w:color="000000"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xml:space="preserve"> </w:t>
            </w:r>
            <w:r>
              <w:rPr>
                <w:rFonts w:ascii="宋体" w:hAnsi="宋体" w:cs="Arial"/>
                <w:color w:val="000000"/>
                <w:kern w:val="0"/>
                <w:sz w:val="22"/>
                <w:szCs w:val="22"/>
              </w:rPr>
              <w:t xml:space="preserve">  </w:t>
            </w:r>
            <w:r>
              <w:rPr>
                <w:rFonts w:hint="eastAsia" w:ascii="宋体" w:hAnsi="宋体" w:cs="Arial"/>
                <w:color w:val="000000"/>
                <w:kern w:val="0"/>
                <w:sz w:val="22"/>
                <w:szCs w:val="22"/>
                <w:lang w:val="en-US" w:eastAsia="zh-CN"/>
              </w:rPr>
              <w:t>13.2449</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（一）一般公共预算财政拨款收入</w:t>
            </w:r>
          </w:p>
        </w:tc>
        <w:tc>
          <w:tcPr>
            <w:tcW w:w="136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13.2449</w:t>
            </w: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（二）政府性基金预算财政拨款收入</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13.2449</w:t>
            </w: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（七）文化旅游体育与传媒支出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（九）卫生健康支出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90"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（十七）自然资源海洋气象等支出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（十八）住房保障支出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（十九）粮油物资储备支出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（二十）灾害防治及应急管理支出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二、上年结转结余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　二、年末结转结余</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1360" w:type="dxa"/>
            <w:tcBorders>
              <w:top w:val="nil"/>
              <w:left w:val="nil"/>
              <w:bottom w:val="nil"/>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860" w:type="dxa"/>
            <w:tcBorders>
              <w:top w:val="nil"/>
              <w:left w:val="nil"/>
              <w:bottom w:val="single" w:color="000000" w:sz="4" w:space="0"/>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05" w:hRule="atLeast"/>
        </w:trPr>
        <w:tc>
          <w:tcPr>
            <w:tcW w:w="386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收入总计</w:t>
            </w:r>
          </w:p>
        </w:tc>
        <w:tc>
          <w:tcPr>
            <w:tcW w:w="1360" w:type="dxa"/>
            <w:tcBorders>
              <w:top w:val="nil"/>
              <w:left w:val="nil"/>
              <w:bottom w:val="single" w:color="000000" w:sz="8"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13.2449</w:t>
            </w:r>
            <w:r>
              <w:rPr>
                <w:rFonts w:ascii="宋体" w:hAnsi="宋体" w:cs="Arial"/>
                <w:color w:val="000000"/>
                <w:kern w:val="0"/>
                <w:sz w:val="22"/>
                <w:szCs w:val="22"/>
              </w:rPr>
              <w:t xml:space="preserve"> </w:t>
            </w:r>
          </w:p>
        </w:tc>
        <w:tc>
          <w:tcPr>
            <w:tcW w:w="7940" w:type="dxa"/>
            <w:gridSpan w:val="4"/>
            <w:tcBorders>
              <w:top w:val="single" w:color="000000" w:sz="4" w:space="0"/>
              <w:left w:val="nil"/>
              <w:bottom w:val="single" w:color="000000" w:sz="8" w:space="0"/>
              <w:right w:val="single" w:color="000000" w:sz="4" w:space="0"/>
            </w:tcBorders>
            <w:vAlign w:val="center"/>
          </w:tcPr>
          <w:p>
            <w:pPr>
              <w:widowControl/>
              <w:ind w:firstLine="1760" w:firstLineChars="800"/>
              <w:jc w:val="both"/>
              <w:rPr>
                <w:rFonts w:hint="default" w:ascii="宋体" w:hAnsi="宋体" w:eastAsia="宋体" w:cs="Arial"/>
                <w:b/>
                <w:bCs/>
                <w:color w:val="000000"/>
                <w:kern w:val="0"/>
                <w:sz w:val="22"/>
                <w:szCs w:val="22"/>
                <w:lang w:val="en-US" w:eastAsia="zh-CN"/>
              </w:rPr>
            </w:pPr>
            <w:r>
              <w:rPr>
                <w:rFonts w:hint="eastAsia" w:ascii="宋体" w:hAnsi="宋体" w:cs="Arial"/>
                <w:b/>
                <w:bCs/>
                <w:color w:val="000000"/>
                <w:kern w:val="0"/>
                <w:sz w:val="22"/>
                <w:szCs w:val="22"/>
              </w:rPr>
              <w:t>支出总计</w:t>
            </w:r>
            <w:r>
              <w:rPr>
                <w:rFonts w:hint="eastAsia" w:ascii="宋体" w:hAnsi="宋体" w:cs="Arial"/>
                <w:b/>
                <w:bCs/>
                <w:color w:val="000000"/>
                <w:kern w:val="0"/>
                <w:sz w:val="22"/>
                <w:szCs w:val="22"/>
                <w:lang w:val="en-US" w:eastAsia="zh-CN"/>
              </w:rPr>
              <w:t xml:space="preserve">            13.2449</w:t>
            </w: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二、一般公共预算财政拨款支出预算表</w:t>
      </w:r>
      <w:r>
        <w:rPr>
          <w:rFonts w:ascii="黑体" w:hAnsi="宋体" w:eastAsia="黑体"/>
          <w:b/>
          <w:kern w:val="0"/>
          <w:sz w:val="32"/>
          <w:szCs w:val="32"/>
        </w:rPr>
        <w:t>(</w:t>
      </w:r>
      <w:r>
        <w:rPr>
          <w:rFonts w:hint="eastAsia" w:ascii="黑体" w:hAnsi="宋体" w:eastAsia="黑体"/>
          <w:b/>
          <w:kern w:val="0"/>
          <w:sz w:val="32"/>
          <w:szCs w:val="32"/>
        </w:rPr>
        <w:t>注：回收幼儿园，无2</w:t>
      </w:r>
      <w:r>
        <w:rPr>
          <w:rFonts w:ascii="黑体" w:hAnsi="宋体" w:eastAsia="黑体"/>
          <w:b/>
          <w:kern w:val="0"/>
          <w:sz w:val="32"/>
          <w:szCs w:val="32"/>
        </w:rPr>
        <w:t>020</w:t>
      </w:r>
      <w:r>
        <w:rPr>
          <w:rFonts w:hint="eastAsia" w:ascii="黑体" w:hAnsi="宋体" w:eastAsia="黑体"/>
          <w:b/>
          <w:kern w:val="0"/>
          <w:sz w:val="32"/>
          <w:szCs w:val="32"/>
        </w:rPr>
        <w:t>年数据)</w:t>
      </w: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一般公共预算财政拨款支出预算表</w:t>
      </w:r>
    </w:p>
    <w:p>
      <w:pPr>
        <w:widowControl/>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1637"/>
        <w:gridCol w:w="1980"/>
        <w:gridCol w:w="1779"/>
        <w:gridCol w:w="1620"/>
        <w:gridCol w:w="1800"/>
        <w:gridCol w:w="1980"/>
        <w:gridCol w:w="236"/>
        <w:gridCol w:w="1024"/>
        <w:gridCol w:w="1454"/>
      </w:tblGrid>
      <w:tr>
        <w:tblPrEx>
          <w:tblCellMar>
            <w:top w:w="0" w:type="dxa"/>
            <w:left w:w="108" w:type="dxa"/>
            <w:bottom w:w="0" w:type="dxa"/>
            <w:right w:w="108" w:type="dxa"/>
          </w:tblCellMar>
        </w:tblPrEx>
        <w:trPr>
          <w:trHeight w:val="555" w:hRule="atLeast"/>
        </w:trPr>
        <w:tc>
          <w:tcPr>
            <w:tcW w:w="36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779"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540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714" w:type="dxa"/>
            <w:gridSpan w:val="3"/>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1125" w:hRule="atLeast"/>
        </w:trPr>
        <w:tc>
          <w:tcPr>
            <w:tcW w:w="1637"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98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779"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62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1800"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236" w:type="dxa"/>
            <w:tcBorders>
              <w:top w:val="single" w:color="auto" w:sz="4" w:space="0"/>
              <w:bottom w:val="single" w:color="auto" w:sz="4" w:space="0"/>
            </w:tcBorders>
            <w:vAlign w:val="center"/>
          </w:tcPr>
          <w:p>
            <w:pPr>
              <w:widowControl/>
              <w:jc w:val="left"/>
              <w:rPr>
                <w:kern w:val="0"/>
                <w:sz w:val="20"/>
                <w:szCs w:val="20"/>
              </w:rPr>
            </w:pPr>
          </w:p>
        </w:tc>
        <w:tc>
          <w:tcPr>
            <w:tcW w:w="1024" w:type="dxa"/>
            <w:tcBorders>
              <w:top w:val="single" w:color="auto" w:sz="4" w:space="0"/>
              <w:bottom w:val="single" w:color="auto" w:sz="4" w:space="0"/>
              <w:right w:val="single" w:color="auto" w:sz="4" w:space="0"/>
            </w:tcBorders>
            <w:vAlign w:val="center"/>
          </w:tcPr>
          <w:p>
            <w:pPr>
              <w:widowControl/>
              <w:rPr>
                <w:rFonts w:ascii="宋体" w:hAnsi="宋体" w:cs="宋体"/>
                <w:b/>
                <w:bCs/>
                <w:kern w:val="0"/>
                <w:sz w:val="22"/>
                <w:szCs w:val="22"/>
              </w:rPr>
            </w:pPr>
            <w:r>
              <w:rPr>
                <w:rFonts w:hint="eastAsia" w:ascii="宋体" w:hAnsi="宋体" w:cs="宋体"/>
                <w:b/>
                <w:bCs/>
                <w:kern w:val="0"/>
                <w:sz w:val="22"/>
                <w:szCs w:val="22"/>
              </w:rPr>
              <w:t>增减额</w:t>
            </w:r>
          </w:p>
        </w:tc>
        <w:tc>
          <w:tcPr>
            <w:tcW w:w="1454" w:type="dxa"/>
            <w:tcBorders>
              <w:top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5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2</w:t>
            </w:r>
            <w:r>
              <w:rPr>
                <w:rFonts w:ascii="宋体" w:hAnsi="宋体" w:cs="宋体"/>
                <w:kern w:val="0"/>
                <w:sz w:val="20"/>
                <w:szCs w:val="20"/>
              </w:rPr>
              <w:t>050201</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学前教育</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13.2449</w:t>
            </w:r>
            <w:r>
              <w:rPr>
                <w:rFonts w:ascii="宋体" w:hAnsi="宋体" w:cs="宋体"/>
                <w:kern w:val="0"/>
                <w:sz w:val="20"/>
                <w:szCs w:val="20"/>
              </w:rPr>
              <w:t xml:space="preserve">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lang w:val="en-US" w:eastAsia="zh-CN"/>
              </w:rPr>
              <w:t>13.2449</w:t>
            </w: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bottom w:val="single" w:color="auto" w:sz="4" w:space="0"/>
              <w:right w:val="single" w:color="auto" w:sz="4" w:space="0"/>
            </w:tcBorders>
          </w:tcPr>
          <w:p>
            <w:pPr>
              <w:widowControl/>
              <w:jc w:val="left"/>
              <w:rPr>
                <w:kern w:val="0"/>
                <w:sz w:val="20"/>
                <w:szCs w:val="20"/>
              </w:rPr>
            </w:pPr>
            <w:r>
              <w:rPr>
                <w:rFonts w:hint="eastAsia"/>
                <w:kern w:val="0"/>
                <w:sz w:val="20"/>
                <w:szCs w:val="20"/>
              </w:rPr>
              <w:t>0</w:t>
            </w: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r>
              <w:rPr>
                <w:rFonts w:hint="eastAsia"/>
                <w:kern w:val="0"/>
                <w:sz w:val="20"/>
                <w:szCs w:val="20"/>
              </w:rPr>
              <w:t>0</w:t>
            </w:r>
          </w:p>
        </w:tc>
      </w:tr>
      <w:tr>
        <w:tblPrEx>
          <w:tblCellMar>
            <w:top w:w="0" w:type="dxa"/>
            <w:left w:w="108" w:type="dxa"/>
            <w:bottom w:w="0" w:type="dxa"/>
            <w:right w:w="108" w:type="dxa"/>
          </w:tblCellMar>
        </w:tblPrEx>
        <w:trPr>
          <w:trHeight w:val="605"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3" w:hRule="atLeast"/>
        </w:trPr>
        <w:tc>
          <w:tcPr>
            <w:tcW w:w="1637"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779"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62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80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980"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260" w:type="dxa"/>
            <w:gridSpan w:val="2"/>
            <w:tcBorders>
              <w:top w:val="single" w:color="auto" w:sz="4" w:space="0"/>
              <w:bottom w:val="single" w:color="auto" w:sz="4" w:space="0"/>
              <w:right w:val="single" w:color="auto" w:sz="4" w:space="0"/>
            </w:tcBorders>
          </w:tcPr>
          <w:p>
            <w:pPr>
              <w:widowControl/>
              <w:jc w:val="left"/>
              <w:rPr>
                <w:kern w:val="0"/>
                <w:sz w:val="20"/>
                <w:szCs w:val="20"/>
              </w:rPr>
            </w:pPr>
          </w:p>
        </w:tc>
        <w:tc>
          <w:tcPr>
            <w:tcW w:w="1454"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spacing w:line="520" w:lineRule="exact"/>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三、一般公共预算财政拨款基本支出预算表</w:t>
      </w:r>
    </w:p>
    <w:p>
      <w:pPr>
        <w:widowControl/>
        <w:spacing w:line="520" w:lineRule="exact"/>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一般公共预算财政拨款基本支出预算表</w:t>
      </w:r>
    </w:p>
    <w:p>
      <w:pPr>
        <w:widowControl/>
        <w:spacing w:line="520" w:lineRule="exact"/>
        <w:ind w:firstLine="735"/>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pPr w:leftFromText="180" w:rightFromText="180" w:vertAnchor="text" w:tblpY="1"/>
        <w:tblOverlap w:val="never"/>
        <w:tblW w:w="0" w:type="auto"/>
        <w:tblInd w:w="0" w:type="dxa"/>
        <w:tblLayout w:type="fixed"/>
        <w:tblCellMar>
          <w:top w:w="0" w:type="dxa"/>
          <w:left w:w="108" w:type="dxa"/>
          <w:bottom w:w="0" w:type="dxa"/>
          <w:right w:w="108" w:type="dxa"/>
        </w:tblCellMar>
      </w:tblPr>
      <w:tblGrid>
        <w:gridCol w:w="2357"/>
        <w:gridCol w:w="3600"/>
        <w:gridCol w:w="2520"/>
        <w:gridCol w:w="2700"/>
        <w:gridCol w:w="2340"/>
      </w:tblGrid>
      <w:tr>
        <w:tblPrEx>
          <w:tblCellMar>
            <w:top w:w="0" w:type="dxa"/>
            <w:left w:w="108" w:type="dxa"/>
            <w:bottom w:w="0" w:type="dxa"/>
            <w:right w:w="108" w:type="dxa"/>
          </w:tblCellMar>
        </w:tblPrEx>
        <w:trPr>
          <w:trHeight w:val="397" w:hRule="atLeast"/>
          <w:tblHeader/>
        </w:trPr>
        <w:tc>
          <w:tcPr>
            <w:tcW w:w="59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经济科目</w:t>
            </w:r>
          </w:p>
        </w:tc>
        <w:tc>
          <w:tcPr>
            <w:tcW w:w="7560"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基本支出预算</w:t>
            </w:r>
          </w:p>
        </w:tc>
      </w:tr>
      <w:tr>
        <w:tblPrEx>
          <w:tblCellMar>
            <w:top w:w="0" w:type="dxa"/>
            <w:left w:w="108" w:type="dxa"/>
            <w:bottom w:w="0" w:type="dxa"/>
            <w:right w:w="108" w:type="dxa"/>
          </w:tblCellMar>
        </w:tblPrEx>
        <w:trPr>
          <w:trHeight w:val="397" w:hRule="atLeast"/>
          <w:tblHeader/>
        </w:trPr>
        <w:tc>
          <w:tcPr>
            <w:tcW w:w="2357" w:type="dxa"/>
            <w:tcBorders>
              <w:top w:val="nil"/>
              <w:left w:val="single" w:color="auto" w:sz="4" w:space="0"/>
              <w:bottom w:val="single" w:color="auto" w:sz="4" w:space="0"/>
              <w:right w:val="single" w:color="auto" w:sz="4" w:space="0"/>
            </w:tcBorders>
            <w:vAlign w:val="center"/>
          </w:tcPr>
          <w:p>
            <w:pPr>
              <w:jc w:val="center"/>
              <w:rPr>
                <w:rFonts w:ascii="宋体" w:hAnsi="宋体" w:cs="宋体"/>
                <w:b/>
                <w:bCs/>
                <w:sz w:val="22"/>
                <w:szCs w:val="22"/>
              </w:rPr>
            </w:pPr>
            <w:r>
              <w:rPr>
                <w:rFonts w:hint="eastAsia"/>
                <w:b/>
                <w:bCs/>
                <w:sz w:val="22"/>
                <w:szCs w:val="22"/>
              </w:rPr>
              <w:t>科目编码</w:t>
            </w:r>
          </w:p>
        </w:tc>
        <w:tc>
          <w:tcPr>
            <w:tcW w:w="36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科目名称</w:t>
            </w:r>
          </w:p>
        </w:tc>
        <w:tc>
          <w:tcPr>
            <w:tcW w:w="252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合计</w:t>
            </w:r>
          </w:p>
        </w:tc>
        <w:tc>
          <w:tcPr>
            <w:tcW w:w="270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人员支出</w:t>
            </w:r>
          </w:p>
        </w:tc>
        <w:tc>
          <w:tcPr>
            <w:tcW w:w="2340" w:type="dxa"/>
            <w:tcBorders>
              <w:top w:val="nil"/>
              <w:left w:val="nil"/>
              <w:bottom w:val="single" w:color="auto" w:sz="4" w:space="0"/>
              <w:right w:val="single" w:color="auto" w:sz="4" w:space="0"/>
            </w:tcBorders>
            <w:vAlign w:val="center"/>
          </w:tcPr>
          <w:p>
            <w:pPr>
              <w:jc w:val="center"/>
              <w:rPr>
                <w:rFonts w:ascii="宋体" w:hAnsi="宋体" w:cs="宋体"/>
                <w:b/>
                <w:bCs/>
                <w:sz w:val="22"/>
                <w:szCs w:val="22"/>
              </w:rPr>
            </w:pPr>
            <w:r>
              <w:rPr>
                <w:rFonts w:hint="eastAsia" w:ascii="宋体" w:hAnsi="宋体"/>
                <w:b/>
                <w:bCs/>
                <w:sz w:val="22"/>
                <w:szCs w:val="22"/>
              </w:rPr>
              <w:t>日常公用支出</w:t>
            </w:r>
          </w:p>
        </w:tc>
      </w:tr>
      <w:tr>
        <w:tblPrEx>
          <w:tblCellMar>
            <w:top w:w="0" w:type="dxa"/>
            <w:left w:w="108" w:type="dxa"/>
            <w:bottom w:w="0" w:type="dxa"/>
            <w:right w:w="108" w:type="dxa"/>
          </w:tblCellMar>
        </w:tblPrEx>
        <w:trPr>
          <w:trHeight w:val="113" w:hRule="atLeast"/>
          <w:tblHeader/>
        </w:trPr>
        <w:tc>
          <w:tcPr>
            <w:tcW w:w="5957" w:type="dxa"/>
            <w:gridSpan w:val="2"/>
            <w:tcBorders>
              <w:top w:val="single" w:color="auto" w:sz="4" w:space="0"/>
              <w:left w:val="single" w:color="auto" w:sz="4" w:space="0"/>
              <w:bottom w:val="single" w:color="auto" w:sz="4" w:space="0"/>
              <w:right w:val="single" w:color="000000" w:sz="4" w:space="0"/>
            </w:tcBorders>
            <w:vAlign w:val="center"/>
          </w:tcPr>
          <w:p>
            <w:pPr>
              <w:spacing w:line="360" w:lineRule="exact"/>
              <w:jc w:val="center"/>
              <w:rPr>
                <w:rFonts w:ascii="宋体" w:hAnsi="宋体" w:cs="宋体"/>
                <w:b/>
                <w:bCs/>
                <w:sz w:val="22"/>
                <w:szCs w:val="22"/>
              </w:rPr>
            </w:pPr>
            <w:r>
              <w:rPr>
                <w:rFonts w:hint="eastAsia" w:ascii="宋体" w:hAnsi="宋体"/>
                <w:b/>
                <w:bCs/>
                <w:sz w:val="22"/>
                <w:szCs w:val="22"/>
              </w:rPr>
              <w:t>总计</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13.2449</w:t>
            </w: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13.2449</w:t>
            </w:r>
          </w:p>
        </w:tc>
      </w:tr>
      <w:tr>
        <w:tblPrEx>
          <w:tblCellMar>
            <w:top w:w="0" w:type="dxa"/>
            <w:left w:w="108" w:type="dxa"/>
            <w:bottom w:w="0" w:type="dxa"/>
            <w:right w:w="108" w:type="dxa"/>
          </w:tblCellMar>
        </w:tblPrEx>
        <w:trPr>
          <w:trHeight w:val="345"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一、工资福利支出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基本工资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津贴补贴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伙食补助费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绩效工资</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机关事业单位基本养老保险缴费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职业年金缴费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职工基本医疗保险缴费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公务员医疗补助缴费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其他社会保障缴费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住房公积金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30114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sz w:val="22"/>
                <w:szCs w:val="22"/>
              </w:rPr>
            </w:pPr>
            <w:r>
              <w:rPr>
                <w:rFonts w:hint="eastAsia" w:ascii="宋体" w:hAnsi="宋体"/>
                <w:sz w:val="22"/>
                <w:szCs w:val="22"/>
              </w:rPr>
              <w:t>30199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sz w:val="22"/>
                <w:szCs w:val="22"/>
              </w:rPr>
            </w:pPr>
            <w:r>
              <w:rPr>
                <w:rFonts w:hint="eastAsia" w:ascii="宋体" w:hAnsi="宋体"/>
                <w:sz w:val="22"/>
                <w:szCs w:val="22"/>
              </w:rPr>
              <w:t>其他工资福利支出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二、商品和服务支出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13.2449</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13.2449</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印刷费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咨询费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手续费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水费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0.98</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0.98</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邮电费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0.2</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0.2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取暖费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6.3749</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6.3749</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物业管理费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差旅费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因公出国（境）费用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维修（护）费</w:t>
            </w:r>
          </w:p>
        </w:tc>
        <w:tc>
          <w:tcPr>
            <w:tcW w:w="2520" w:type="dxa"/>
            <w:tcBorders>
              <w:top w:val="nil"/>
              <w:left w:val="nil"/>
              <w:bottom w:val="single" w:color="auto" w:sz="4" w:space="0"/>
              <w:right w:val="single" w:color="auto" w:sz="4" w:space="0"/>
            </w:tcBorders>
            <w:vAlign w:val="center"/>
          </w:tcPr>
          <w:p>
            <w:pPr>
              <w:spacing w:line="3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1.89</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1.89</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租赁费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会议费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培训费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公务接待费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30218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专用材料费</w:t>
            </w:r>
          </w:p>
        </w:tc>
        <w:tc>
          <w:tcPr>
            <w:tcW w:w="2520" w:type="dxa"/>
            <w:tcBorders>
              <w:top w:val="nil"/>
              <w:left w:val="nil"/>
              <w:bottom w:val="single" w:color="auto" w:sz="4" w:space="0"/>
              <w:right w:val="single" w:color="auto" w:sz="4" w:space="0"/>
            </w:tcBorders>
            <w:vAlign w:val="center"/>
          </w:tcPr>
          <w:p>
            <w:pPr>
              <w:spacing w:line="360" w:lineRule="exact"/>
              <w:rPr>
                <w:rFonts w:hint="eastAsia" w:ascii="宋体" w:hAnsi="宋体" w:eastAsia="宋体" w:cs="宋体"/>
                <w:sz w:val="22"/>
                <w:szCs w:val="22"/>
                <w:lang w:val="en-US" w:eastAsia="zh-CN"/>
              </w:rPr>
            </w:pPr>
            <w:r>
              <w:rPr>
                <w:rFonts w:ascii="宋体" w:hAnsi="宋体" w:cs="宋体"/>
                <w:sz w:val="22"/>
                <w:szCs w:val="22"/>
              </w:rPr>
              <w:t xml:space="preserve">         </w:t>
            </w:r>
            <w:r>
              <w:rPr>
                <w:rFonts w:hint="eastAsia" w:ascii="宋体" w:hAnsi="宋体" w:cs="宋体"/>
                <w:sz w:val="22"/>
                <w:szCs w:val="22"/>
                <w:lang w:val="en-US" w:eastAsia="zh-CN"/>
              </w:rPr>
              <w:t>2</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ascii="宋体" w:hAnsi="宋体" w:cs="宋体"/>
                <w:sz w:val="22"/>
                <w:szCs w:val="22"/>
                <w:lang w:val="en-US" w:eastAsia="zh-CN"/>
              </w:rPr>
              <w:t>2</w:t>
            </w: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被装购置费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专用燃料费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劳务费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委托业务费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工会经费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30229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福利费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公务用车运行维护费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30239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其他交通费用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30240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税金及附加费用</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30299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其他商品和服务支出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三、对个人和家庭的补助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jc w:val="right"/>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30301</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离休费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退休费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退职（役）费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30304</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抚恤金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30305</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生活补助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30306</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救济费</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医疗费补助</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30308</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助学金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30309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奖励金</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个人农业生产补贴</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30399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其他对个人和家庭的补助支出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b/>
                <w:bCs/>
                <w:sz w:val="22"/>
                <w:szCs w:val="22"/>
              </w:rPr>
            </w:pPr>
            <w:r>
              <w:rPr>
                <w:rFonts w:hint="eastAsia" w:ascii="宋体" w:hAnsi="宋体"/>
                <w:b/>
                <w:bCs/>
                <w:sz w:val="22"/>
                <w:szCs w:val="22"/>
              </w:rPr>
              <w:t>四、资本性支出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31002</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办公设备购置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31003</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专用设备购置</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31007</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信息网络及软件购置更新</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p>
        </w:tc>
      </w:tr>
      <w:tr>
        <w:tblPrEx>
          <w:tblCellMar>
            <w:top w:w="0" w:type="dxa"/>
            <w:left w:w="108" w:type="dxa"/>
            <w:bottom w:w="0" w:type="dxa"/>
            <w:right w:w="108" w:type="dxa"/>
          </w:tblCellMar>
        </w:tblPrEx>
        <w:trPr>
          <w:trHeight w:val="113" w:hRule="atLeast"/>
          <w:tblHeader/>
        </w:trPr>
        <w:tc>
          <w:tcPr>
            <w:tcW w:w="2357" w:type="dxa"/>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31099</w:t>
            </w:r>
          </w:p>
        </w:tc>
        <w:tc>
          <w:tcPr>
            <w:tcW w:w="3600" w:type="dxa"/>
            <w:tcBorders>
              <w:top w:val="nil"/>
              <w:left w:val="nil"/>
              <w:bottom w:val="single" w:color="auto" w:sz="4" w:space="0"/>
              <w:right w:val="single" w:color="auto" w:sz="4" w:space="0"/>
            </w:tcBorders>
            <w:vAlign w:val="center"/>
          </w:tcPr>
          <w:p>
            <w:pPr>
              <w:spacing w:line="360" w:lineRule="exact"/>
              <w:rPr>
                <w:rFonts w:ascii="宋体" w:hAnsi="宋体" w:cs="宋体"/>
                <w:sz w:val="22"/>
                <w:szCs w:val="22"/>
              </w:rPr>
            </w:pPr>
            <w:r>
              <w:rPr>
                <w:rFonts w:hint="eastAsia" w:ascii="宋体" w:hAnsi="宋体"/>
                <w:sz w:val="22"/>
                <w:szCs w:val="22"/>
              </w:rPr>
              <w:t>其他资本性支出</w:t>
            </w:r>
          </w:p>
        </w:tc>
        <w:tc>
          <w:tcPr>
            <w:tcW w:w="2520" w:type="dxa"/>
            <w:tcBorders>
              <w:top w:val="nil"/>
              <w:left w:val="nil"/>
              <w:bottom w:val="single" w:color="auto" w:sz="4" w:space="0"/>
              <w:right w:val="single" w:color="auto" w:sz="4" w:space="0"/>
            </w:tcBorders>
            <w:vAlign w:val="center"/>
          </w:tcPr>
          <w:p>
            <w:pPr>
              <w:spacing w:line="360" w:lineRule="exact"/>
              <w:jc w:val="center"/>
              <w:rPr>
                <w:rFonts w:ascii="宋体" w:hAnsi="宋体" w:cs="宋体"/>
                <w:sz w:val="22"/>
                <w:szCs w:val="22"/>
              </w:rPr>
            </w:pPr>
            <w:r>
              <w:rPr>
                <w:rFonts w:hint="eastAsia" w:ascii="宋体" w:hAnsi="宋体"/>
                <w:sz w:val="22"/>
                <w:szCs w:val="22"/>
              </w:rPr>
              <w:t>　</w:t>
            </w:r>
          </w:p>
        </w:tc>
        <w:tc>
          <w:tcPr>
            <w:tcW w:w="270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c>
          <w:tcPr>
            <w:tcW w:w="2340" w:type="dxa"/>
            <w:tcBorders>
              <w:top w:val="nil"/>
              <w:left w:val="nil"/>
              <w:bottom w:val="single" w:color="auto" w:sz="4" w:space="0"/>
              <w:right w:val="single" w:color="auto" w:sz="4" w:space="0"/>
            </w:tcBorders>
            <w:vAlign w:val="center"/>
          </w:tcPr>
          <w:p>
            <w:pPr>
              <w:rPr>
                <w:rFonts w:ascii="宋体" w:hAnsi="宋体" w:cs="宋体"/>
                <w:sz w:val="22"/>
                <w:szCs w:val="22"/>
              </w:rPr>
            </w:pPr>
            <w:r>
              <w:rPr>
                <w:rFonts w:hint="eastAsia"/>
                <w:sz w:val="22"/>
                <w:szCs w:val="22"/>
              </w:rPr>
              <w:t>　</w:t>
            </w:r>
          </w:p>
        </w:tc>
      </w:tr>
    </w:tbl>
    <w:p>
      <w:pPr>
        <w:widowControl/>
        <w:outlineLvl w:val="1"/>
        <w:rPr>
          <w:rFonts w:ascii="黑体" w:hAnsi="宋体" w:eastAsia="黑体"/>
          <w:b/>
          <w:kern w:val="0"/>
          <w:sz w:val="32"/>
          <w:szCs w:val="32"/>
        </w:rPr>
      </w:pPr>
      <w:r>
        <w:rPr>
          <w:rFonts w:hint="eastAsia" w:ascii="黑体" w:hAnsi="宋体" w:eastAsia="黑体"/>
          <w:b/>
          <w:kern w:val="0"/>
          <w:sz w:val="32"/>
          <w:szCs w:val="32"/>
        </w:rPr>
        <w:t xml:space="preserve">四、一般公共预算 </w:t>
      </w:r>
      <w:bookmarkStart w:id="1" w:name="_Hlk62675235"/>
      <w:r>
        <w:rPr>
          <w:rFonts w:hint="eastAsia" w:ascii="黑体" w:hAnsi="宋体" w:eastAsia="黑体"/>
          <w:b/>
          <w:kern w:val="0"/>
          <w:sz w:val="32"/>
          <w:szCs w:val="32"/>
        </w:rPr>
        <w:t>“三公”</w:t>
      </w:r>
      <w:bookmarkEnd w:id="1"/>
      <w:bookmarkStart w:id="2" w:name="_Hlk62675267"/>
      <w:r>
        <w:rPr>
          <w:rFonts w:hint="eastAsia" w:ascii="黑体" w:hAnsi="宋体" w:eastAsia="黑体"/>
          <w:b/>
          <w:kern w:val="0"/>
          <w:sz w:val="32"/>
          <w:szCs w:val="32"/>
        </w:rPr>
        <w:t>经费支出</w:t>
      </w:r>
      <w:bookmarkEnd w:id="2"/>
      <w:r>
        <w:rPr>
          <w:rFonts w:hint="eastAsia" w:ascii="黑体" w:hAnsi="宋体" w:eastAsia="黑体"/>
          <w:b/>
          <w:kern w:val="0"/>
          <w:sz w:val="32"/>
          <w:szCs w:val="32"/>
        </w:rPr>
        <w:t>预算表（</w:t>
      </w:r>
      <w:bookmarkStart w:id="3" w:name="_Hlk62675290"/>
      <w:r>
        <w:rPr>
          <w:rFonts w:hint="eastAsia" w:ascii="黑体" w:hAnsi="宋体" w:eastAsia="黑体"/>
          <w:b/>
          <w:kern w:val="0"/>
          <w:sz w:val="32"/>
          <w:szCs w:val="32"/>
        </w:rPr>
        <w:t>注：本单位无“三公”经费支出）</w:t>
      </w:r>
    </w:p>
    <w:bookmarkEnd w:id="3"/>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一般公共预算 “三公”经费支出预算表</w:t>
      </w:r>
    </w:p>
    <w:p>
      <w:pPr>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1" w:type="dxa"/>
        <w:tblLayout w:type="fixed"/>
        <w:tblCellMar>
          <w:top w:w="0" w:type="dxa"/>
          <w:left w:w="108" w:type="dxa"/>
          <w:bottom w:w="0" w:type="dxa"/>
          <w:right w:w="108" w:type="dxa"/>
        </w:tblCellMar>
      </w:tblPr>
      <w:tblGrid>
        <w:gridCol w:w="771"/>
        <w:gridCol w:w="771"/>
        <w:gridCol w:w="771"/>
        <w:gridCol w:w="771"/>
        <w:gridCol w:w="771"/>
        <w:gridCol w:w="771"/>
        <w:gridCol w:w="771"/>
        <w:gridCol w:w="771"/>
        <w:gridCol w:w="771"/>
        <w:gridCol w:w="771"/>
        <w:gridCol w:w="771"/>
        <w:gridCol w:w="771"/>
        <w:gridCol w:w="771"/>
        <w:gridCol w:w="771"/>
        <w:gridCol w:w="771"/>
        <w:gridCol w:w="771"/>
        <w:gridCol w:w="771"/>
        <w:gridCol w:w="771"/>
      </w:tblGrid>
      <w:tr>
        <w:tblPrEx>
          <w:tblCellMar>
            <w:top w:w="0" w:type="dxa"/>
            <w:left w:w="108" w:type="dxa"/>
            <w:bottom w:w="0" w:type="dxa"/>
            <w:right w:w="108" w:type="dxa"/>
          </w:tblCellMar>
        </w:tblPrEx>
        <w:trPr>
          <w:trHeight w:val="555" w:hRule="atLeast"/>
        </w:trPr>
        <w:tc>
          <w:tcPr>
            <w:tcW w:w="462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2020年预算数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tc>
        <w:tc>
          <w:tcPr>
            <w:tcW w:w="462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r>
      <w:tr>
        <w:tblPrEx>
          <w:tblCellMar>
            <w:top w:w="0" w:type="dxa"/>
            <w:left w:w="108" w:type="dxa"/>
            <w:bottom w:w="0" w:type="dxa"/>
            <w:right w:w="108" w:type="dxa"/>
          </w:tblCellMar>
        </w:tblPrEx>
        <w:trPr>
          <w:trHeight w:val="1170" w:hRule="atLeast"/>
        </w:trPr>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因公出国（境）费</w:t>
            </w:r>
          </w:p>
        </w:tc>
        <w:tc>
          <w:tcPr>
            <w:tcW w:w="2313"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公务用车购置及运行费</w:t>
            </w:r>
          </w:p>
        </w:tc>
        <w:tc>
          <w:tcPr>
            <w:tcW w:w="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公务接待费</w:t>
            </w:r>
          </w:p>
        </w:tc>
      </w:tr>
      <w:tr>
        <w:tblPrEx>
          <w:tblCellMar>
            <w:top w:w="0" w:type="dxa"/>
            <w:left w:w="108" w:type="dxa"/>
            <w:bottom w:w="0" w:type="dxa"/>
            <w:right w:w="108" w:type="dxa"/>
          </w:tblCellMar>
        </w:tblPrEx>
        <w:trPr>
          <w:trHeight w:val="1170" w:hRule="atLeast"/>
        </w:trPr>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小计</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公务用车购置费</w:t>
            </w:r>
          </w:p>
        </w:tc>
        <w:tc>
          <w:tcPr>
            <w:tcW w:w="771" w:type="dxa"/>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公务用车运行费</w:t>
            </w:r>
          </w:p>
        </w:tc>
        <w:tc>
          <w:tcPr>
            <w:tcW w:w="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0</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555" w:hRule="atLeast"/>
        </w:trPr>
        <w:tc>
          <w:tcPr>
            <w:tcW w:w="77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c>
          <w:tcPr>
            <w:tcW w:w="771" w:type="dxa"/>
            <w:tcBorders>
              <w:top w:val="nil"/>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w:t>
            </w:r>
          </w:p>
        </w:tc>
      </w:tr>
    </w:tbl>
    <w:p>
      <w:pPr>
        <w:rPr>
          <w:rFonts w:ascii="仿宋_GB2312" w:hAnsi="宋体" w:eastAsia="仿宋_GB2312"/>
          <w:kern w:val="0"/>
          <w:sz w:val="32"/>
          <w:szCs w:val="32"/>
        </w:rPr>
      </w:pPr>
    </w:p>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五、政府性基金</w:t>
      </w:r>
      <w:bookmarkStart w:id="4" w:name="_Hlk62675325"/>
      <w:r>
        <w:rPr>
          <w:rFonts w:hint="eastAsia" w:ascii="黑体" w:hAnsi="宋体" w:eastAsia="黑体"/>
          <w:b/>
          <w:kern w:val="0"/>
          <w:sz w:val="32"/>
          <w:szCs w:val="32"/>
        </w:rPr>
        <w:t>预算财政拨款支出</w:t>
      </w:r>
      <w:bookmarkEnd w:id="4"/>
      <w:r>
        <w:rPr>
          <w:rFonts w:hint="eastAsia" w:ascii="黑体" w:hAnsi="宋体" w:eastAsia="黑体"/>
          <w:b/>
          <w:kern w:val="0"/>
          <w:sz w:val="32"/>
          <w:szCs w:val="32"/>
        </w:rPr>
        <w:t>预算表（注：本单位无政府性基金预算财政拨款预算支出）</w:t>
      </w:r>
    </w:p>
    <w:p>
      <w:pPr>
        <w:widowControl/>
        <w:ind w:firstLine="627" w:firstLineChars="196"/>
        <w:outlineLvl w:val="1"/>
        <w:rPr>
          <w:rFonts w:ascii="黑体" w:hAnsi="宋体" w:eastAsia="黑体"/>
          <w:b/>
          <w:kern w:val="0"/>
          <w:sz w:val="32"/>
          <w:szCs w:val="32"/>
        </w:rPr>
      </w:pPr>
    </w:p>
    <w:p>
      <w:pPr>
        <w:widowControl/>
        <w:ind w:firstLine="720" w:firstLineChars="200"/>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政府性基金预算财政拨款支出预算表</w:t>
      </w:r>
    </w:p>
    <w:p>
      <w:pPr>
        <w:widowControl/>
        <w:ind w:firstLine="720" w:firstLineChars="200"/>
        <w:jc w:val="center"/>
        <w:outlineLvl w:val="1"/>
        <w:rPr>
          <w:rFonts w:ascii="仿宋_GB2312" w:hAnsi="宋体" w:eastAsia="仿宋_GB2312"/>
          <w:kern w:val="0"/>
          <w:sz w:val="32"/>
          <w:szCs w:val="32"/>
        </w:rPr>
      </w:pPr>
      <w:r>
        <w:rPr>
          <w:rFonts w:hint="eastAsia" w:ascii="仿宋_GB2312" w:hAnsi="宋体" w:eastAsia="仿宋_GB2312"/>
          <w:b/>
          <w:kern w:val="0"/>
          <w:sz w:val="36"/>
          <w:szCs w:val="36"/>
        </w:rPr>
        <w:t xml:space="preserve">                                                                </w:t>
      </w:r>
      <w:r>
        <w:rPr>
          <w:rFonts w:hint="eastAsia" w:ascii="仿宋_GB2312" w:hAnsi="宋体" w:eastAsia="仿宋_GB2312"/>
          <w:kern w:val="0"/>
          <w:sz w:val="32"/>
          <w:szCs w:val="32"/>
        </w:rPr>
        <w:t>单位：万元</w:t>
      </w:r>
    </w:p>
    <w:tbl>
      <w:tblPr>
        <w:tblStyle w:val="6"/>
        <w:tblW w:w="14180" w:type="dxa"/>
        <w:tblInd w:w="91" w:type="dxa"/>
        <w:tblLayout w:type="fixed"/>
        <w:tblCellMar>
          <w:top w:w="0" w:type="dxa"/>
          <w:left w:w="108" w:type="dxa"/>
          <w:bottom w:w="0" w:type="dxa"/>
          <w:right w:w="108" w:type="dxa"/>
        </w:tblCellMar>
      </w:tblPr>
      <w:tblGrid>
        <w:gridCol w:w="1418"/>
        <w:gridCol w:w="1418"/>
        <w:gridCol w:w="1418"/>
        <w:gridCol w:w="1418"/>
        <w:gridCol w:w="1418"/>
        <w:gridCol w:w="1418"/>
        <w:gridCol w:w="1418"/>
        <w:gridCol w:w="1418"/>
        <w:gridCol w:w="1418"/>
        <w:gridCol w:w="1418"/>
      </w:tblGrid>
      <w:tr>
        <w:tblPrEx>
          <w:tblCellMar>
            <w:top w:w="0" w:type="dxa"/>
            <w:left w:w="108" w:type="dxa"/>
            <w:bottom w:w="0" w:type="dxa"/>
            <w:right w:w="108" w:type="dxa"/>
          </w:tblCellMar>
        </w:tblPrEx>
        <w:trPr>
          <w:trHeight w:val="510" w:hRule="atLeast"/>
        </w:trPr>
        <w:tc>
          <w:tcPr>
            <w:tcW w:w="283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功能分类科目</w:t>
            </w:r>
          </w:p>
        </w:tc>
        <w:tc>
          <w:tcPr>
            <w:tcW w:w="1418" w:type="dxa"/>
            <w:vMerge w:val="restart"/>
            <w:tcBorders>
              <w:top w:val="single" w:color="auto" w:sz="4" w:space="0"/>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2020年执行数（决算数）</w:t>
            </w:r>
          </w:p>
          <w:p>
            <w:pPr>
              <w:jc w:val="center"/>
              <w:rPr>
                <w:rFonts w:ascii="宋体" w:hAnsi="宋体" w:cs="宋体"/>
                <w:b/>
                <w:bCs/>
                <w:kern w:val="0"/>
                <w:sz w:val="22"/>
                <w:szCs w:val="22"/>
              </w:rPr>
            </w:pPr>
          </w:p>
        </w:tc>
        <w:tc>
          <w:tcPr>
            <w:tcW w:w="709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2021年预算数</w:t>
            </w:r>
          </w:p>
        </w:tc>
        <w:tc>
          <w:tcPr>
            <w:tcW w:w="2836" w:type="dxa"/>
            <w:gridSpan w:val="2"/>
            <w:tcBorders>
              <w:top w:val="single" w:color="auto" w:sz="4" w:space="0"/>
              <w:bottom w:val="single" w:color="auto" w:sz="4" w:space="0"/>
              <w:right w:val="single" w:color="auto" w:sz="4" w:space="0"/>
            </w:tcBorders>
            <w:vAlign w:val="center"/>
          </w:tcPr>
          <w:p>
            <w:pPr>
              <w:widowControl/>
              <w:jc w:val="center"/>
              <w:rPr>
                <w:kern w:val="0"/>
                <w:sz w:val="20"/>
                <w:szCs w:val="20"/>
              </w:rPr>
            </w:pPr>
            <w:r>
              <w:rPr>
                <w:rFonts w:hint="eastAsia" w:ascii="宋体" w:hAnsi="宋体" w:cs="宋体"/>
                <w:b/>
                <w:bCs/>
                <w:kern w:val="0"/>
                <w:sz w:val="22"/>
                <w:szCs w:val="22"/>
              </w:rPr>
              <w:t>2021年预算数与2020年执行数（决算数）</w:t>
            </w:r>
          </w:p>
        </w:tc>
      </w:tr>
      <w:tr>
        <w:tblPrEx>
          <w:tblCellMar>
            <w:top w:w="0" w:type="dxa"/>
            <w:left w:w="108" w:type="dxa"/>
            <w:bottom w:w="0" w:type="dxa"/>
            <w:right w:w="108" w:type="dxa"/>
          </w:tblCellMar>
        </w:tblPrEx>
        <w:trPr>
          <w:trHeight w:val="510" w:hRule="atLeast"/>
        </w:trPr>
        <w:tc>
          <w:tcPr>
            <w:tcW w:w="1418" w:type="dxa"/>
            <w:vMerge w:val="restart"/>
            <w:tcBorders>
              <w:top w:val="nil"/>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科目编码</w:t>
            </w: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科目名称</w:t>
            </w:r>
          </w:p>
        </w:tc>
        <w:tc>
          <w:tcPr>
            <w:tcW w:w="1418" w:type="dxa"/>
            <w:vMerge w:val="continue"/>
            <w:tcBorders>
              <w:left w:val="nil"/>
              <w:right w:val="single" w:color="auto" w:sz="4" w:space="0"/>
            </w:tcBorders>
            <w:vAlign w:val="center"/>
          </w:tcPr>
          <w:p>
            <w:pPr>
              <w:widowControl/>
              <w:jc w:val="center"/>
              <w:rPr>
                <w:rFonts w:ascii="宋体" w:hAnsi="宋体" w:cs="宋体"/>
                <w:b/>
                <w:bCs/>
                <w:kern w:val="0"/>
                <w:sz w:val="22"/>
                <w:szCs w:val="22"/>
              </w:rPr>
            </w:pPr>
          </w:p>
        </w:tc>
        <w:tc>
          <w:tcPr>
            <w:tcW w:w="1418" w:type="dxa"/>
            <w:vMerge w:val="restart"/>
            <w:tcBorders>
              <w:top w:val="nil"/>
              <w:left w:val="nil"/>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合计</w:t>
            </w:r>
          </w:p>
        </w:tc>
        <w:tc>
          <w:tcPr>
            <w:tcW w:w="4254"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基本支出</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项目支出</w:t>
            </w:r>
          </w:p>
        </w:tc>
        <w:tc>
          <w:tcPr>
            <w:tcW w:w="1418" w:type="dxa"/>
            <w:vMerge w:val="restart"/>
            <w:tcBorders>
              <w:top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增减额</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增减%</w:t>
            </w:r>
          </w:p>
        </w:tc>
      </w:tr>
      <w:tr>
        <w:tblPrEx>
          <w:tblCellMar>
            <w:top w:w="0" w:type="dxa"/>
            <w:left w:w="108" w:type="dxa"/>
            <w:bottom w:w="0" w:type="dxa"/>
            <w:right w:w="108" w:type="dxa"/>
          </w:tblCellMar>
        </w:tblPrEx>
        <w:trPr>
          <w:trHeight w:val="510" w:hRule="atLeast"/>
        </w:trPr>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小计</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人员经费</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 w:val="22"/>
                <w:szCs w:val="22"/>
              </w:rPr>
            </w:pPr>
            <w:r>
              <w:rPr>
                <w:rFonts w:hint="eastAsia" w:ascii="宋体" w:hAnsi="宋体" w:cs="宋体"/>
                <w:b/>
                <w:bCs/>
                <w:kern w:val="0"/>
                <w:sz w:val="22"/>
                <w:szCs w:val="22"/>
              </w:rPr>
              <w:t>日常公用经费</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vMerge w:val="continue"/>
            <w:tcBorders>
              <w:bottom w:val="single" w:color="auto" w:sz="4" w:space="0"/>
              <w:right w:val="single" w:color="auto" w:sz="4" w:space="0"/>
            </w:tcBorders>
            <w:vAlign w:val="center"/>
          </w:tcPr>
          <w:p>
            <w:pPr>
              <w:widowControl/>
              <w:rPr>
                <w:rFonts w:ascii="宋体" w:hAnsi="宋体" w:cs="宋体"/>
                <w:b/>
                <w:bCs/>
                <w:kern w:val="0"/>
                <w:sz w:val="22"/>
                <w:szCs w:val="22"/>
              </w:rPr>
            </w:pP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CellMar>
            <w:top w:w="0" w:type="dxa"/>
            <w:left w:w="108" w:type="dxa"/>
            <w:bottom w:w="0" w:type="dxa"/>
            <w:right w:w="108" w:type="dxa"/>
          </w:tblCellMar>
        </w:tblPrEx>
        <w:trPr>
          <w:trHeight w:val="55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ascii="宋体" w:hAnsi="宋体" w:cs="宋体"/>
                <w:kern w:val="0"/>
                <w:sz w:val="20"/>
                <w:szCs w:val="20"/>
              </w:rPr>
              <w:t>0</w:t>
            </w: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0</w:t>
            </w: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0　</w:t>
            </w:r>
          </w:p>
        </w:tc>
        <w:tc>
          <w:tcPr>
            <w:tcW w:w="1418" w:type="dxa"/>
            <w:tcBorders>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5"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3"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21"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14"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r>
        <w:tblPrEx>
          <w:tblCellMar>
            <w:top w:w="0" w:type="dxa"/>
            <w:left w:w="108" w:type="dxa"/>
            <w:bottom w:w="0" w:type="dxa"/>
            <w:right w:w="108" w:type="dxa"/>
          </w:tblCellMar>
        </w:tblPrEx>
        <w:trPr>
          <w:trHeight w:val="608" w:hRule="atLeast"/>
        </w:trPr>
        <w:tc>
          <w:tcPr>
            <w:tcW w:w="1418"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nil"/>
              <w:left w:val="nil"/>
              <w:bottom w:val="single" w:color="auto" w:sz="4" w:space="0"/>
              <w:right w:val="single" w:color="auto" w:sz="4" w:space="0"/>
            </w:tcBorders>
            <w:vAlign w:val="center"/>
          </w:tcPr>
          <w:p>
            <w:pPr>
              <w:widowControl/>
              <w:jc w:val="right"/>
              <w:rPr>
                <w:rFonts w:ascii="宋体" w:hAnsi="宋体" w:cs="宋体"/>
                <w:kern w:val="0"/>
                <w:sz w:val="20"/>
                <w:szCs w:val="20"/>
              </w:rPr>
            </w:pPr>
          </w:p>
        </w:tc>
        <w:tc>
          <w:tcPr>
            <w:tcW w:w="1418" w:type="dxa"/>
            <w:tcBorders>
              <w:top w:val="nil"/>
              <w:left w:val="nil"/>
              <w:bottom w:val="single" w:color="auto" w:sz="4" w:space="0"/>
              <w:right w:val="single" w:color="auto" w:sz="4" w:space="0"/>
            </w:tcBorders>
            <w:vAlign w:val="center"/>
          </w:tcPr>
          <w:p>
            <w:pPr>
              <w:jc w:val="right"/>
              <w:rPr>
                <w:rFonts w:ascii="宋体" w:hAnsi="宋体" w:cs="宋体"/>
                <w:kern w:val="0"/>
                <w:sz w:val="20"/>
                <w:szCs w:val="20"/>
              </w:rPr>
            </w:pPr>
            <w:r>
              <w:rPr>
                <w:rFonts w:hint="eastAsia" w:ascii="宋体" w:hAnsi="宋体" w:cs="宋体"/>
                <w:kern w:val="0"/>
                <w:sz w:val="20"/>
                <w:szCs w:val="20"/>
              </w:rPr>
              <w:t>　</w:t>
            </w: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c>
          <w:tcPr>
            <w:tcW w:w="1418" w:type="dxa"/>
            <w:tcBorders>
              <w:top w:val="single" w:color="auto" w:sz="4" w:space="0"/>
              <w:bottom w:val="single" w:color="auto" w:sz="4" w:space="0"/>
              <w:right w:val="single" w:color="auto" w:sz="4" w:space="0"/>
            </w:tcBorders>
          </w:tcPr>
          <w:p>
            <w:pPr>
              <w:widowControl/>
              <w:jc w:val="left"/>
              <w:rPr>
                <w:kern w:val="0"/>
                <w:sz w:val="20"/>
                <w:szCs w:val="20"/>
              </w:rPr>
            </w:pPr>
          </w:p>
        </w:tc>
      </w:tr>
    </w:tbl>
    <w:p>
      <w:pPr>
        <w:widowControl/>
        <w:ind w:firstLine="640" w:firstLineChars="200"/>
        <w:outlineLvl w:val="1"/>
        <w:rPr>
          <w:rFonts w:ascii="黑体" w:hAnsi="宋体" w:eastAsia="黑体"/>
          <w:b/>
          <w:kern w:val="0"/>
          <w:sz w:val="32"/>
          <w:szCs w:val="32"/>
        </w:rPr>
      </w:pPr>
      <w:r>
        <w:rPr>
          <w:rFonts w:hint="eastAsia" w:ascii="黑体" w:hAnsi="宋体" w:eastAsia="黑体"/>
          <w:b/>
          <w:kern w:val="0"/>
          <w:sz w:val="32"/>
          <w:szCs w:val="32"/>
        </w:rPr>
        <w:t>六、部门收支预算总表</w:t>
      </w:r>
    </w:p>
    <w:p>
      <w:pPr>
        <w:widowControl/>
        <w:jc w:val="center"/>
        <w:outlineLvl w:val="1"/>
        <w:rPr>
          <w:rFonts w:ascii="仿宋_GB2312" w:hAnsi="宋体" w:eastAsia="仿宋_GB2312"/>
          <w:b/>
          <w:kern w:val="0"/>
          <w:sz w:val="36"/>
          <w:szCs w:val="36"/>
        </w:rPr>
      </w:pPr>
      <w:r>
        <w:rPr>
          <w:rFonts w:hint="eastAsia" w:ascii="仿宋_GB2312" w:hAnsi="宋体" w:eastAsia="仿宋_GB2312"/>
          <w:b/>
          <w:kern w:val="0"/>
          <w:sz w:val="36"/>
          <w:szCs w:val="36"/>
        </w:rPr>
        <w:t>部门收支预算总表</w:t>
      </w:r>
    </w:p>
    <w:p>
      <w:pPr>
        <w:widowControl/>
        <w:jc w:val="right"/>
        <w:outlineLvl w:val="1"/>
        <w:rPr>
          <w:rFonts w:ascii="仿宋_GB2312" w:hAnsi="宋体" w:eastAsia="仿宋_GB2312"/>
          <w:b/>
          <w:kern w:val="0"/>
          <w:sz w:val="36"/>
          <w:szCs w:val="36"/>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5235"/>
        <w:gridCol w:w="1800"/>
        <w:gridCol w:w="5022"/>
        <w:gridCol w:w="1800"/>
      </w:tblGrid>
      <w:tr>
        <w:tblPrEx>
          <w:tblCellMar>
            <w:top w:w="15" w:type="dxa"/>
            <w:left w:w="108" w:type="dxa"/>
            <w:bottom w:w="15" w:type="dxa"/>
            <w:right w:w="108" w:type="dxa"/>
          </w:tblCellMar>
        </w:tblPrEx>
        <w:trPr>
          <w:trHeight w:val="316" w:hRule="atLeast"/>
        </w:trPr>
        <w:tc>
          <w:tcPr>
            <w:tcW w:w="7035"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     入</w:t>
            </w:r>
          </w:p>
        </w:tc>
        <w:tc>
          <w:tcPr>
            <w:tcW w:w="6822" w:type="dxa"/>
            <w:gridSpan w:val="2"/>
            <w:tcBorders>
              <w:top w:val="single" w:color="000000" w:sz="4" w:space="0"/>
              <w:left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     出</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项目</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预算数</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一、行政支出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 xml:space="preserve">       13.2449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其中：非同级财政拨款（科研及辅助活动）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其中：财政拨款支出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纳入财政专户管理的非税收入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r>
              <w:rPr>
                <w:rFonts w:ascii="宋体" w:hAnsi="宋体" w:cs="宋体"/>
                <w:color w:val="000000"/>
                <w:kern w:val="0"/>
                <w:sz w:val="22"/>
                <w:szCs w:val="22"/>
              </w:rPr>
              <w:t xml:space="preserve">                  非同级财政拨款支出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三、经营支出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四、附属单位上缴预算收入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四、上缴上级支出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五、对附属单位补助支出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六、债务预算收入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六、投资支出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七、非同级财政拨款预算收入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七、债务还本支出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八、投资预算收益</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八、其他支出</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九、其他预算收入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本年支出合计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十、上年结转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九、年末结转结余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（2）非财政拨款结转</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十一、上年结余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（3）非财政拨款结转</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其中：一般公共预算财政拨款收入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政府性基金预算财政拨款收入</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（4）非财政拨款结余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（2）非财政拨款结余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其中：本级横向财政拨款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非本级财政拨款</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（5）专用结余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（3）专用结余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（6）经营结余</w:t>
            </w: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（4）经营结余</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ascii="宋体" w:hAnsi="宋体" w:cs="宋体"/>
                <w:color w:val="000000"/>
                <w:kern w:val="0"/>
                <w:sz w:val="22"/>
                <w:szCs w:val="22"/>
              </w:rPr>
            </w:pP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180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316" w:hRule="atLeast"/>
        </w:trPr>
        <w:tc>
          <w:tcPr>
            <w:tcW w:w="52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收入总计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c>
          <w:tcPr>
            <w:tcW w:w="502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支出总计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righ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r>
    </w:tbl>
    <w:p>
      <w:pPr>
        <w:widowControl/>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p>
    <w:p>
      <w:pPr>
        <w:widowControl/>
        <w:outlineLvl w:val="1"/>
        <w:rPr>
          <w:rFonts w:ascii="仿宋_GB2312" w:hAnsi="宋体" w:eastAsia="仿宋_GB2312"/>
          <w:kern w:val="0"/>
          <w:sz w:val="32"/>
          <w:szCs w:val="32"/>
        </w:rPr>
      </w:pPr>
    </w:p>
    <w:p>
      <w:pPr>
        <w:widowControl/>
        <w:ind w:firstLine="735"/>
        <w:jc w:val="left"/>
        <w:outlineLvl w:val="1"/>
        <w:rPr>
          <w:rFonts w:hint="eastAsia" w:ascii="黑体" w:hAnsi="宋体" w:eastAsia="黑体"/>
          <w:b/>
          <w:bCs/>
          <w:kern w:val="0"/>
          <w:sz w:val="32"/>
          <w:szCs w:val="32"/>
        </w:rPr>
      </w:pPr>
    </w:p>
    <w:p>
      <w:pPr>
        <w:widowControl/>
        <w:ind w:firstLine="735"/>
        <w:jc w:val="left"/>
        <w:outlineLvl w:val="1"/>
        <w:rPr>
          <w:rFonts w:ascii="黑体" w:hAnsi="宋体" w:eastAsia="黑体"/>
          <w:b/>
          <w:bCs/>
          <w:kern w:val="0"/>
          <w:sz w:val="32"/>
          <w:szCs w:val="32"/>
        </w:rPr>
      </w:pPr>
      <w:r>
        <w:rPr>
          <w:rFonts w:hint="eastAsia" w:ascii="黑体" w:hAnsi="宋体" w:eastAsia="黑体"/>
          <w:b/>
          <w:bCs/>
          <w:kern w:val="0"/>
          <w:sz w:val="32"/>
          <w:szCs w:val="32"/>
        </w:rPr>
        <w:t>七、部门收入预算表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部门收入预算表</w:t>
      </w:r>
    </w:p>
    <w:p>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275"/>
        <w:gridCol w:w="1054"/>
        <w:gridCol w:w="1035"/>
        <w:gridCol w:w="795"/>
        <w:gridCol w:w="637"/>
        <w:gridCol w:w="860"/>
        <w:gridCol w:w="839"/>
        <w:gridCol w:w="840"/>
        <w:gridCol w:w="840"/>
        <w:gridCol w:w="840"/>
        <w:gridCol w:w="840"/>
        <w:gridCol w:w="840"/>
        <w:gridCol w:w="840"/>
        <w:gridCol w:w="840"/>
        <w:gridCol w:w="840"/>
        <w:gridCol w:w="840"/>
      </w:tblGrid>
      <w:tr>
        <w:tblPrEx>
          <w:tblCellMar>
            <w:top w:w="15" w:type="dxa"/>
            <w:left w:w="108" w:type="dxa"/>
            <w:bottom w:w="15" w:type="dxa"/>
            <w:right w:w="108" w:type="dxa"/>
          </w:tblCellMar>
        </w:tblPrEx>
        <w:trPr>
          <w:trHeight w:val="480" w:hRule="atLeast"/>
        </w:trPr>
        <w:tc>
          <w:tcPr>
            <w:tcW w:w="12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本年收入合计</w:t>
            </w:r>
          </w:p>
        </w:tc>
        <w:tc>
          <w:tcPr>
            <w:tcW w:w="288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财政拨款预算收入</w:t>
            </w:r>
          </w:p>
        </w:tc>
        <w:tc>
          <w:tcPr>
            <w:tcW w:w="233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上级补助预算收入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附属单位上缴预算收入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债务预算收入</w:t>
            </w:r>
          </w:p>
        </w:tc>
        <w:tc>
          <w:tcPr>
            <w:tcW w:w="2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非同级财政拨款预算收入</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投资预算收益</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其他预算收入</w:t>
            </w:r>
          </w:p>
        </w:tc>
      </w:tr>
      <w:tr>
        <w:tblPrEx>
          <w:tblCellMar>
            <w:top w:w="15" w:type="dxa"/>
            <w:left w:w="108" w:type="dxa"/>
            <w:bottom w:w="15" w:type="dxa"/>
            <w:right w:w="108" w:type="dxa"/>
          </w:tblCellMar>
        </w:tblPrEx>
        <w:trPr>
          <w:trHeight w:val="42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一般公共预算财政拨款收入</w:t>
            </w:r>
          </w:p>
        </w:tc>
        <w:tc>
          <w:tcPr>
            <w:tcW w:w="7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政府性基金预算财政拨款收入</w:t>
            </w:r>
          </w:p>
        </w:tc>
        <w:tc>
          <w:tcPr>
            <w:tcW w:w="6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60" w:type="dxa"/>
            <w:tcBorders>
              <w:top w:val="single" w:color="000000" w:sz="4" w:space="0"/>
              <w:bottom w:val="single" w:color="000000" w:sz="4" w:space="0"/>
            </w:tcBorders>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其中：</w:t>
            </w:r>
          </w:p>
        </w:tc>
        <w:tc>
          <w:tcPr>
            <w:tcW w:w="839" w:type="dxa"/>
            <w:tcBorders>
              <w:top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小计</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非本级财政拨款</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本级横向财政拨款</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312"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非同级财政拨款（科研及辅助活动）</w:t>
            </w:r>
          </w:p>
        </w:tc>
        <w:tc>
          <w:tcPr>
            <w:tcW w:w="83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纳入财政专户管理的非税收入</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1590" w:hRule="atLeast"/>
        </w:trPr>
        <w:tc>
          <w:tcPr>
            <w:tcW w:w="12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79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63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c>
          <w:tcPr>
            <w:tcW w:w="1054"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c>
          <w:tcPr>
            <w:tcW w:w="103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13.2449</w:t>
            </w:r>
          </w:p>
        </w:tc>
        <w:tc>
          <w:tcPr>
            <w:tcW w:w="7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63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6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39"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c>
          <w:tcPr>
            <w:tcW w:w="840"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22"/>
                <w:szCs w:val="22"/>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tabs>
                <w:tab w:val="left" w:pos="644"/>
              </w:tabs>
              <w:ind w:right="132" w:rightChars="63"/>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r>
        <w:tblPrEx>
          <w:tblCellMar>
            <w:top w:w="15" w:type="dxa"/>
            <w:left w:w="108" w:type="dxa"/>
            <w:bottom w:w="15" w:type="dxa"/>
            <w:right w:w="108" w:type="dxa"/>
          </w:tblCellMar>
        </w:tblPrEx>
        <w:trPr>
          <w:trHeight w:val="286" w:hRule="atLeast"/>
        </w:trPr>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63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rPr>
            </w:pPr>
          </w:p>
        </w:tc>
      </w:tr>
    </w:tbl>
    <w:p>
      <w:pPr>
        <w:widowControl/>
        <w:ind w:firstLine="627" w:firstLineChars="196"/>
        <w:jc w:val="left"/>
        <w:outlineLvl w:val="1"/>
        <w:rPr>
          <w:rFonts w:hint="eastAsia" w:ascii="黑体" w:hAnsi="宋体" w:eastAsia="黑体"/>
          <w:b/>
          <w:bCs/>
          <w:kern w:val="0"/>
          <w:sz w:val="32"/>
          <w:szCs w:val="32"/>
        </w:rPr>
      </w:pPr>
    </w:p>
    <w:p>
      <w:pPr>
        <w:widowControl/>
        <w:ind w:firstLine="627" w:firstLineChars="196"/>
        <w:jc w:val="left"/>
        <w:outlineLvl w:val="1"/>
        <w:rPr>
          <w:rFonts w:ascii="黑体" w:hAnsi="宋体" w:eastAsia="黑体"/>
          <w:b/>
          <w:bCs/>
          <w:kern w:val="0"/>
          <w:sz w:val="32"/>
          <w:szCs w:val="32"/>
        </w:rPr>
      </w:pPr>
      <w:r>
        <w:rPr>
          <w:rFonts w:hint="eastAsia" w:ascii="黑体" w:hAnsi="宋体" w:eastAsia="黑体"/>
          <w:b/>
          <w:bCs/>
          <w:kern w:val="0"/>
          <w:sz w:val="32"/>
          <w:szCs w:val="32"/>
        </w:rPr>
        <w:t>八、部门支出预算表</w:t>
      </w:r>
    </w:p>
    <w:p>
      <w:pPr>
        <w:widowControl/>
        <w:jc w:val="center"/>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部门支出预算表</w:t>
      </w:r>
    </w:p>
    <w:p>
      <w:pPr>
        <w:rPr>
          <w:szCs w:val="21"/>
        </w:rPr>
      </w:pPr>
      <w:r>
        <w:rPr>
          <w:rFonts w:hint="eastAsia" w:ascii="仿宋_GB2312" w:hAnsi="宋体" w:eastAsia="仿宋_GB2312"/>
          <w:kern w:val="0"/>
          <w:sz w:val="32"/>
          <w:szCs w:val="32"/>
        </w:rPr>
        <w:t xml:space="preserve">                                                                           单位：万元</w:t>
      </w:r>
    </w:p>
    <w:tbl>
      <w:tblPr>
        <w:tblStyle w:val="6"/>
        <w:tblW w:w="0" w:type="auto"/>
        <w:tblInd w:w="93" w:type="dxa"/>
        <w:tblLayout w:type="fixed"/>
        <w:tblCellMar>
          <w:top w:w="15" w:type="dxa"/>
          <w:left w:w="108" w:type="dxa"/>
          <w:bottom w:w="15" w:type="dxa"/>
          <w:right w:w="108" w:type="dxa"/>
        </w:tblCellMar>
      </w:tblPr>
      <w:tblGrid>
        <w:gridCol w:w="1995"/>
        <w:gridCol w:w="1317"/>
        <w:gridCol w:w="1317"/>
        <w:gridCol w:w="1317"/>
        <w:gridCol w:w="1316"/>
        <w:gridCol w:w="1316"/>
        <w:gridCol w:w="1316"/>
        <w:gridCol w:w="1316"/>
        <w:gridCol w:w="1316"/>
        <w:gridCol w:w="1307"/>
      </w:tblGrid>
      <w:tr>
        <w:tblPrEx>
          <w:tblCellMar>
            <w:top w:w="15" w:type="dxa"/>
            <w:left w:w="108" w:type="dxa"/>
            <w:bottom w:w="15" w:type="dxa"/>
            <w:right w:w="108" w:type="dxa"/>
          </w:tblCellMar>
        </w:tblPrEx>
        <w:trPr>
          <w:trHeight w:val="780" w:hRule="atLeast"/>
        </w:trPr>
        <w:tc>
          <w:tcPr>
            <w:tcW w:w="19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科目编码</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本年支出合计</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行政支出</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事业支出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经营支出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上缴上级支出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对附属单位补助支出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投资支出</w:t>
            </w:r>
          </w:p>
        </w:tc>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债务还本支出</w:t>
            </w:r>
          </w:p>
        </w:tc>
        <w:tc>
          <w:tcPr>
            <w:tcW w:w="13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其他支出</w:t>
            </w: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2</w:t>
            </w:r>
            <w:r>
              <w:rPr>
                <w:rFonts w:ascii="宋体" w:hAnsi="宋体" w:cs="宋体"/>
                <w:color w:val="000000"/>
                <w:kern w:val="0"/>
                <w:sz w:val="18"/>
                <w:szCs w:val="18"/>
              </w:rPr>
              <w:t>050201</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13.2449</w:t>
            </w: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13.2449</w:t>
            </w: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宋体" w:hAnsi="宋体" w:cs="宋体"/>
                <w:color w:val="000000"/>
                <w:kern w:val="0"/>
                <w:sz w:val="18"/>
                <w:szCs w:val="18"/>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r>
        <w:tblPrEx>
          <w:tblCellMar>
            <w:top w:w="15" w:type="dxa"/>
            <w:left w:w="108" w:type="dxa"/>
            <w:bottom w:w="15" w:type="dxa"/>
            <w:right w:w="108" w:type="dxa"/>
          </w:tblCellMar>
        </w:tblPrEx>
        <w:trPr>
          <w:trHeight w:val="360" w:hRule="atLeast"/>
        </w:trPr>
        <w:tc>
          <w:tcPr>
            <w:tcW w:w="1995"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16"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c>
          <w:tcPr>
            <w:tcW w:w="1307" w:type="dxa"/>
            <w:tcBorders>
              <w:top w:val="single" w:color="000000" w:sz="4" w:space="0"/>
              <w:left w:val="single" w:color="000000" w:sz="4" w:space="0"/>
              <w:bottom w:val="single" w:color="000000" w:sz="4" w:space="0"/>
              <w:right w:val="single" w:color="000000" w:sz="4" w:space="0"/>
            </w:tcBorders>
            <w:vAlign w:val="bottom"/>
          </w:tcPr>
          <w:p>
            <w:pPr>
              <w:widowControl/>
              <w:jc w:val="left"/>
              <w:rPr>
                <w:rFonts w:ascii="Calibri" w:hAnsi="Calibri" w:cs="宋体"/>
                <w:color w:val="000000"/>
                <w:kern w:val="0"/>
                <w:sz w:val="22"/>
                <w:szCs w:val="22"/>
              </w:rPr>
            </w:pPr>
          </w:p>
        </w:tc>
      </w:tr>
    </w:tbl>
    <w:p>
      <w:pPr>
        <w:sectPr>
          <w:pgSz w:w="16838" w:h="11906" w:orient="landscape"/>
          <w:pgMar w:top="1797" w:right="1440" w:bottom="1797" w:left="1440" w:header="851" w:footer="992" w:gutter="0"/>
          <w:cols w:space="720" w:num="1"/>
          <w:docGrid w:type="linesAndChars" w:linePitch="312" w:charSpace="0"/>
        </w:sectPr>
      </w:pPr>
    </w:p>
    <w:p>
      <w:pPr>
        <w:widowControl/>
        <w:ind w:left="2461" w:leftChars="1000" w:hanging="361" w:hangingChars="1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银川市金凤区</w:t>
      </w:r>
      <w:r>
        <w:rPr>
          <w:rFonts w:hint="eastAsia" w:ascii="仿宋_GB2312" w:hAnsi="宋体" w:eastAsia="仿宋_GB2312"/>
          <w:b/>
          <w:bCs/>
          <w:kern w:val="0"/>
          <w:sz w:val="36"/>
          <w:szCs w:val="36"/>
          <w:lang w:val="en-US" w:eastAsia="zh-CN"/>
        </w:rPr>
        <w:t>园子</w:t>
      </w:r>
      <w:r>
        <w:rPr>
          <w:rFonts w:hint="eastAsia" w:ascii="仿宋_GB2312" w:hAnsi="宋体" w:eastAsia="仿宋_GB2312"/>
          <w:b/>
          <w:bCs/>
          <w:kern w:val="0"/>
          <w:sz w:val="36"/>
          <w:szCs w:val="36"/>
        </w:rPr>
        <w:t>幼儿园</w:t>
      </w:r>
    </w:p>
    <w:p>
      <w:pPr>
        <w:widowControl/>
        <w:ind w:left="3218" w:leftChars="500" w:hanging="2168" w:hangingChars="600"/>
        <w:jc w:val="left"/>
        <w:outlineLvl w:val="1"/>
        <w:rPr>
          <w:rFonts w:ascii="仿宋_GB2312" w:hAnsi="宋体" w:eastAsia="仿宋_GB2312"/>
          <w:b/>
          <w:bCs/>
          <w:kern w:val="0"/>
          <w:sz w:val="36"/>
          <w:szCs w:val="36"/>
        </w:rPr>
      </w:pPr>
      <w:r>
        <w:rPr>
          <w:rFonts w:ascii="仿宋_GB2312" w:hAnsi="宋体" w:eastAsia="仿宋_GB2312"/>
          <w:b/>
          <w:bCs/>
          <w:kern w:val="0"/>
          <w:sz w:val="36"/>
          <w:szCs w:val="36"/>
        </w:rPr>
        <w:t>2021</w:t>
      </w:r>
      <w:r>
        <w:rPr>
          <w:rFonts w:hint="eastAsia" w:ascii="仿宋_GB2312" w:hAnsi="宋体" w:eastAsia="仿宋_GB2312"/>
          <w:b/>
          <w:bCs/>
          <w:kern w:val="0"/>
          <w:sz w:val="36"/>
          <w:szCs w:val="36"/>
        </w:rPr>
        <w:t>年部门预算——部门预算情况说明</w:t>
      </w:r>
    </w:p>
    <w:p>
      <w:pPr>
        <w:widowControl/>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 xml:space="preserve"> </w:t>
      </w:r>
    </w:p>
    <w:p>
      <w:pPr>
        <w:widowControl/>
        <w:spacing w:line="560" w:lineRule="exact"/>
        <w:ind w:firstLine="643" w:firstLineChars="200"/>
        <w:jc w:val="left"/>
        <w:rPr>
          <w:rFonts w:ascii="黑体" w:eastAsia="黑体" w:cs="宋体"/>
          <w:b/>
          <w:bCs/>
          <w:kern w:val="0"/>
          <w:sz w:val="32"/>
          <w:szCs w:val="32"/>
        </w:rPr>
      </w:pPr>
      <w:r>
        <w:rPr>
          <w:rFonts w:hint="eastAsia" w:ascii="黑体" w:eastAsia="黑体" w:cs="宋体"/>
          <w:b/>
          <w:bCs/>
          <w:kern w:val="0"/>
          <w:sz w:val="32"/>
          <w:szCs w:val="32"/>
        </w:rPr>
        <w:t>一、关于银川市金凤区</w:t>
      </w:r>
      <w:r>
        <w:rPr>
          <w:rFonts w:hint="eastAsia" w:ascii="黑体" w:eastAsia="黑体" w:cs="宋体"/>
          <w:b/>
          <w:bCs/>
          <w:kern w:val="0"/>
          <w:sz w:val="32"/>
          <w:szCs w:val="32"/>
          <w:lang w:val="en-US" w:eastAsia="zh-CN"/>
        </w:rPr>
        <w:t>园子</w:t>
      </w:r>
      <w:r>
        <w:rPr>
          <w:rFonts w:hint="eastAsia" w:ascii="黑体" w:eastAsia="黑体" w:cs="宋体"/>
          <w:b/>
          <w:bCs/>
          <w:kern w:val="0"/>
          <w:sz w:val="32"/>
          <w:szCs w:val="32"/>
        </w:rPr>
        <w:t>幼儿园2021年财政拨款收支预算情况的总体说明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银川市金凤区</w:t>
      </w:r>
      <w:r>
        <w:rPr>
          <w:rFonts w:hint="eastAsia" w:ascii="仿宋_GB2312" w:hAnsi="宋体" w:eastAsia="仿宋_GB2312" w:cs="宋体"/>
          <w:kern w:val="0"/>
          <w:sz w:val="32"/>
          <w:szCs w:val="32"/>
          <w:lang w:val="en-US" w:eastAsia="zh-CN"/>
        </w:rPr>
        <w:t>园子</w:t>
      </w:r>
      <w:r>
        <w:rPr>
          <w:rFonts w:hint="eastAsia" w:ascii="仿宋_GB2312" w:hAnsi="宋体" w:eastAsia="仿宋_GB2312" w:cs="宋体"/>
          <w:kern w:val="0"/>
          <w:sz w:val="32"/>
          <w:szCs w:val="32"/>
        </w:rPr>
        <w:t>幼儿园2021年财政拨款收入预算</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万元，包括一般公共预算拨款</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万元，政府性基金预算拨款</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万元。支出预算</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万元，包括：按政府收支分类功能科目逐项说明。如，一般公共服务支出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万元、社会保障和就业支出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万元、住房保障支出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二、关于银川市金凤区</w:t>
      </w:r>
      <w:r>
        <w:rPr>
          <w:rFonts w:hint="eastAsia" w:ascii="黑体" w:hAnsi="宋体" w:eastAsia="黑体" w:cs="宋体"/>
          <w:b/>
          <w:bCs/>
          <w:kern w:val="0"/>
          <w:sz w:val="32"/>
          <w:szCs w:val="32"/>
          <w:lang w:val="en-US" w:eastAsia="zh-CN"/>
        </w:rPr>
        <w:t>园子</w:t>
      </w:r>
      <w:r>
        <w:rPr>
          <w:rFonts w:hint="eastAsia" w:ascii="黑体" w:hAnsi="宋体" w:eastAsia="黑体" w:cs="宋体"/>
          <w:b/>
          <w:bCs/>
          <w:kern w:val="0"/>
          <w:sz w:val="32"/>
          <w:szCs w:val="32"/>
        </w:rPr>
        <w:t>幼儿园2021年一般公共预算财政拨款支出情况说明</w:t>
      </w:r>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（一）基本支出情况说明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园子</w:t>
      </w:r>
      <w:r>
        <w:rPr>
          <w:rFonts w:hint="eastAsia" w:ascii="仿宋_GB2312" w:hAnsi="宋体" w:eastAsia="仿宋_GB2312" w:cs="宋体"/>
          <w:kern w:val="0"/>
          <w:sz w:val="32"/>
          <w:szCs w:val="32"/>
        </w:rPr>
        <w:t>幼儿园2021年一般公共预算财政拨款基本支出</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万元，其中：本年收入安排支出</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万元，上年结转资金安排支出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包括：按部门支出经济分类科目分项说明。如，基本工资、津贴补贴、奖金、社会保障缴费、伙食补助费、绩效工资、其他工资福利支出、离休费、退休费、抚恤金、生活补助、医疗费、助学金、奖励金、住房公积金、提租补贴、购房补贴、其他对个人和家庭的补助支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万元，主要包括：按部门支出经济分类科目分项说明。如，办公费</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万元、水费</w:t>
      </w:r>
      <w:r>
        <w:rPr>
          <w:rFonts w:hint="eastAsia" w:ascii="仿宋_GB2312" w:hAnsi="宋体" w:eastAsia="仿宋_GB2312" w:cs="宋体"/>
          <w:kern w:val="0"/>
          <w:sz w:val="32"/>
          <w:szCs w:val="32"/>
          <w:lang w:val="en-US" w:eastAsia="zh-CN"/>
        </w:rPr>
        <w:t>0.8</w:t>
      </w:r>
      <w:r>
        <w:rPr>
          <w:rFonts w:hint="eastAsia" w:ascii="仿宋_GB2312" w:hAnsi="宋体" w:eastAsia="仿宋_GB2312" w:cs="宋体"/>
          <w:kern w:val="0"/>
          <w:sz w:val="32"/>
          <w:szCs w:val="32"/>
        </w:rPr>
        <w:t>万元、电费</w:t>
      </w:r>
      <w:r>
        <w:rPr>
          <w:rFonts w:hint="eastAsia" w:ascii="仿宋_GB2312" w:hAnsi="宋体" w:eastAsia="仿宋_GB2312" w:cs="宋体"/>
          <w:kern w:val="0"/>
          <w:sz w:val="32"/>
          <w:szCs w:val="32"/>
          <w:lang w:val="en-US" w:eastAsia="zh-CN"/>
        </w:rPr>
        <w:t>0.98</w:t>
      </w:r>
      <w:r>
        <w:rPr>
          <w:rFonts w:hint="eastAsia" w:ascii="仿宋_GB2312" w:hAnsi="宋体" w:eastAsia="仿宋_GB2312" w:cs="宋体"/>
          <w:kern w:val="0"/>
          <w:sz w:val="32"/>
          <w:szCs w:val="32"/>
        </w:rPr>
        <w:t>万元、邮电费</w:t>
      </w:r>
      <w:r>
        <w:rPr>
          <w:rFonts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万元、取暖费</w:t>
      </w:r>
      <w:r>
        <w:rPr>
          <w:rFonts w:hint="eastAsia" w:ascii="仿宋_GB2312" w:hAnsi="宋体" w:eastAsia="仿宋_GB2312" w:cs="宋体"/>
          <w:kern w:val="0"/>
          <w:sz w:val="32"/>
          <w:szCs w:val="32"/>
          <w:lang w:val="en-US" w:eastAsia="zh-CN"/>
        </w:rPr>
        <w:t>6.3749</w:t>
      </w:r>
      <w:r>
        <w:rPr>
          <w:rFonts w:hint="eastAsia" w:ascii="仿宋_GB2312" w:hAnsi="宋体" w:eastAsia="仿宋_GB2312" w:cs="宋体"/>
          <w:kern w:val="0"/>
          <w:sz w:val="32"/>
          <w:szCs w:val="32"/>
        </w:rPr>
        <w:t>万元、专用材料费</w:t>
      </w:r>
      <w:r>
        <w:rPr>
          <w:rFonts w:hint="eastAsia" w:ascii="仿宋_GB2312" w:hAnsi="宋体" w:eastAsia="仿宋_GB2312" w:cs="宋体"/>
          <w:kern w:val="0"/>
          <w:sz w:val="32"/>
          <w:szCs w:val="32"/>
          <w:lang w:val="en-US" w:eastAsia="zh-CN"/>
        </w:rPr>
        <w:t>2万</w:t>
      </w:r>
      <w:r>
        <w:rPr>
          <w:rFonts w:hint="eastAsia" w:ascii="仿宋_GB2312" w:hAnsi="宋体" w:eastAsia="仿宋_GB2312" w:cs="宋体"/>
          <w:kern w:val="0"/>
          <w:sz w:val="32"/>
          <w:szCs w:val="32"/>
        </w:rPr>
        <w:t>元、维修（护）费</w:t>
      </w:r>
      <w:r>
        <w:rPr>
          <w:rFonts w:hint="eastAsia" w:ascii="仿宋_GB2312" w:hAnsi="宋体" w:eastAsia="仿宋_GB2312" w:cs="宋体"/>
          <w:kern w:val="0"/>
          <w:sz w:val="32"/>
          <w:szCs w:val="32"/>
          <w:lang w:val="en-US" w:eastAsia="zh-CN"/>
        </w:rPr>
        <w:t>1.89</w:t>
      </w:r>
      <w:r>
        <w:rPr>
          <w:rFonts w:hint="eastAsia" w:ascii="仿宋_GB2312" w:hAnsi="宋体" w:eastAsia="仿宋_GB2312" w:cs="宋体"/>
          <w:kern w:val="0"/>
          <w:sz w:val="32"/>
          <w:szCs w:val="32"/>
        </w:rPr>
        <w:t>万元。</w:t>
      </w:r>
      <w:bookmarkStart w:id="5" w:name="_GoBack"/>
      <w:bookmarkEnd w:id="5"/>
    </w:p>
    <w:p>
      <w:pPr>
        <w:widowControl/>
        <w:spacing w:line="560" w:lineRule="exact"/>
        <w:ind w:firstLine="480"/>
        <w:jc w:val="left"/>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（二）项目支出情况说明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园子</w:t>
      </w:r>
      <w:r>
        <w:rPr>
          <w:rFonts w:hint="eastAsia" w:ascii="仿宋_GB2312" w:hAnsi="宋体" w:eastAsia="仿宋_GB2312" w:cs="宋体"/>
          <w:kern w:val="0"/>
          <w:sz w:val="32"/>
          <w:szCs w:val="32"/>
        </w:rPr>
        <w:t>幼儿园2021年一般公共预算财政拨款项目支出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万元，其中：本年收入安排支出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万元，上年结转结余资金安排支出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万元。包括：按政府收支科目类、款、项，用途分项说明。如，</w:t>
      </w:r>
      <w:r>
        <w:rPr>
          <w:rFonts w:hint="eastAsia" w:ascii="仿宋_GB2312" w:eastAsia="仿宋_GB2312"/>
          <w:kern w:val="0"/>
          <w:sz w:val="32"/>
          <w:szCs w:val="32"/>
        </w:rPr>
        <w:t>一般公共服务（类）财政事务（款）行政运行（项）2021年预算</w:t>
      </w:r>
      <w:r>
        <w:rPr>
          <w:rFonts w:ascii="仿宋_GB2312" w:eastAsia="仿宋_GB2312"/>
          <w:kern w:val="0"/>
          <w:sz w:val="32"/>
          <w:szCs w:val="32"/>
        </w:rPr>
        <w:t>0</w:t>
      </w:r>
      <w:r>
        <w:rPr>
          <w:rFonts w:hint="eastAsia" w:ascii="仿宋_GB2312" w:eastAsia="仿宋_GB2312"/>
          <w:kern w:val="0"/>
          <w:sz w:val="32"/>
          <w:szCs w:val="32"/>
        </w:rPr>
        <w:t>万元，</w:t>
      </w:r>
      <w:r>
        <w:rPr>
          <w:rFonts w:hint="eastAsia" w:ascii="仿宋_GB2312" w:hAnsi="宋体" w:eastAsia="仿宋_GB2312" w:cs="宋体"/>
          <w:kern w:val="0"/>
          <w:sz w:val="32"/>
          <w:szCs w:val="32"/>
        </w:rPr>
        <w:t>比上年执行数（决算数）增加（减少）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万元，增长（下降）</w:t>
      </w:r>
      <w:r>
        <w:rPr>
          <w:rFonts w:ascii="仿宋_GB2312" w:hAnsi="宋体" w:eastAsia="仿宋_GB2312" w:cs="宋体"/>
          <w:kern w:val="0"/>
          <w:sz w:val="32"/>
          <w:szCs w:val="32"/>
        </w:rPr>
        <w:t>0</w:t>
      </w:r>
      <w:r>
        <w:rPr>
          <w:rFonts w:hint="eastAsia" w:ascii="仿宋_GB2312" w:hAnsi="宋体" w:eastAsia="仿宋_GB2312" w:cs="宋体"/>
          <w:kern w:val="0"/>
          <w:sz w:val="32"/>
          <w:szCs w:val="32"/>
        </w:rPr>
        <w:t>%。主要用于……。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必须按功能分类项级科目逐项说明。</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三、关于银川市金凤区</w:t>
      </w:r>
      <w:r>
        <w:rPr>
          <w:rFonts w:hint="eastAsia" w:ascii="黑体" w:hAnsi="宋体" w:eastAsia="黑体" w:cs="宋体"/>
          <w:b/>
          <w:bCs/>
          <w:kern w:val="0"/>
          <w:sz w:val="32"/>
          <w:szCs w:val="32"/>
          <w:lang w:val="en-US" w:eastAsia="zh-CN"/>
        </w:rPr>
        <w:t>园子</w:t>
      </w:r>
      <w:r>
        <w:rPr>
          <w:rFonts w:hint="eastAsia" w:ascii="黑体" w:hAnsi="宋体" w:eastAsia="黑体" w:cs="宋体"/>
          <w:b/>
          <w:bCs/>
          <w:kern w:val="0"/>
          <w:sz w:val="32"/>
          <w:szCs w:val="32"/>
        </w:rPr>
        <w:t>幼儿园2021年一般公共预算财政拨款“三公”经费预算情况说明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园子</w:t>
      </w:r>
      <w:r>
        <w:rPr>
          <w:rFonts w:hint="eastAsia" w:ascii="仿宋_GB2312" w:hAnsi="宋体" w:eastAsia="仿宋_GB2312" w:cs="宋体"/>
          <w:kern w:val="0"/>
          <w:sz w:val="32"/>
          <w:szCs w:val="32"/>
        </w:rPr>
        <w:t>幼儿园2021年“三公”经费财政拨款预算数为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万元，公务用车购置</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万元，公务用车运行费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万元，公务接待费</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2021年“三公”经费财政拨款预算比2020年增加（减少）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万元，其中：因公出国（境）费增加（减少）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万元，主要原因……；公务用车购置费增加（减少）</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万元，主要原因……；公务用车运行费增加（减少）0万元，主要原因……；公务接待费增加（减少0万元，主要原因……。</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四、关于银川市金凤区</w:t>
      </w:r>
      <w:r>
        <w:rPr>
          <w:rFonts w:hint="eastAsia" w:ascii="黑体" w:hAnsi="宋体" w:eastAsia="黑体" w:cs="宋体"/>
          <w:b/>
          <w:bCs/>
          <w:kern w:val="0"/>
          <w:sz w:val="32"/>
          <w:szCs w:val="32"/>
          <w:lang w:val="en-US" w:eastAsia="zh-CN"/>
        </w:rPr>
        <w:t>园子</w:t>
      </w:r>
      <w:r>
        <w:rPr>
          <w:rFonts w:hint="eastAsia" w:ascii="黑体" w:hAnsi="宋体" w:eastAsia="黑体" w:cs="宋体"/>
          <w:b/>
          <w:bCs/>
          <w:kern w:val="0"/>
          <w:sz w:val="32"/>
          <w:szCs w:val="32"/>
        </w:rPr>
        <w:t>幼儿园2021年政府性基金预算拨款情况说明</w:t>
      </w:r>
    </w:p>
    <w:p>
      <w:pPr>
        <w:widowControl/>
        <w:spacing w:line="560" w:lineRule="exact"/>
        <w:ind w:firstLine="480"/>
        <w:jc w:val="left"/>
        <w:rPr>
          <w:rFonts w:ascii="仿宋_GB2312" w:hAnsi="宋体" w:eastAsia="仿宋_GB2312" w:cs="宋体"/>
          <w:kern w:val="0"/>
          <w:sz w:val="32"/>
          <w:szCs w:val="32"/>
        </w:rPr>
      </w:pPr>
      <w:r>
        <w:rPr>
          <w:rFonts w:hint="eastAsia" w:ascii="楷体_GB2312" w:hAnsi="宋体" w:eastAsia="楷体_GB2312" w:cs="宋体"/>
          <w:b/>
          <w:bCs/>
          <w:kern w:val="0"/>
          <w:sz w:val="32"/>
          <w:szCs w:val="32"/>
        </w:rPr>
        <w:t>无政府性基金预算财政拨款单位：</w:t>
      </w: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园子</w:t>
      </w:r>
      <w:r>
        <w:rPr>
          <w:rFonts w:hint="eastAsia" w:ascii="仿宋_GB2312" w:hAnsi="宋体" w:eastAsia="仿宋_GB2312" w:cs="宋体"/>
          <w:kern w:val="0"/>
          <w:sz w:val="32"/>
          <w:szCs w:val="32"/>
        </w:rPr>
        <w:t>幼儿园2021年无政府性基金预算财政拨款收支。</w:t>
      </w:r>
    </w:p>
    <w:p>
      <w:pPr>
        <w:widowControl/>
        <w:spacing w:line="560" w:lineRule="exact"/>
        <w:ind w:firstLine="643" w:firstLineChars="200"/>
        <w:jc w:val="left"/>
        <w:rPr>
          <w:rFonts w:ascii="黑体" w:hAnsi="宋体" w:eastAsia="黑体" w:cs="宋体"/>
          <w:b/>
          <w:bCs/>
          <w:kern w:val="0"/>
          <w:sz w:val="32"/>
          <w:szCs w:val="32"/>
        </w:rPr>
      </w:pPr>
      <w:r>
        <w:rPr>
          <w:rFonts w:hint="eastAsia" w:ascii="黑体" w:hAnsi="宋体" w:eastAsia="黑体" w:cs="宋体"/>
          <w:b/>
          <w:bCs/>
          <w:kern w:val="0"/>
          <w:sz w:val="32"/>
          <w:szCs w:val="32"/>
        </w:rPr>
        <w:t>五、关于银川市金凤区</w:t>
      </w:r>
      <w:r>
        <w:rPr>
          <w:rFonts w:hint="eastAsia" w:ascii="黑体" w:hAnsi="宋体" w:eastAsia="黑体" w:cs="宋体"/>
          <w:b/>
          <w:bCs/>
          <w:kern w:val="0"/>
          <w:sz w:val="32"/>
          <w:szCs w:val="32"/>
          <w:lang w:val="en-US" w:eastAsia="zh-CN"/>
        </w:rPr>
        <w:t>园子</w:t>
      </w:r>
      <w:r>
        <w:rPr>
          <w:rFonts w:hint="eastAsia" w:ascii="黑体" w:hAnsi="宋体" w:eastAsia="黑体" w:cs="宋体"/>
          <w:b/>
          <w:bCs/>
          <w:kern w:val="0"/>
          <w:sz w:val="32"/>
          <w:szCs w:val="32"/>
        </w:rPr>
        <w:t>幼儿园2021年收支预算情况的总体说明</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银川市金凤区</w:t>
      </w:r>
      <w:r>
        <w:rPr>
          <w:rFonts w:hint="eastAsia" w:ascii="仿宋_GB2312" w:hAnsi="宋体" w:eastAsia="仿宋_GB2312" w:cs="宋体"/>
          <w:kern w:val="0"/>
          <w:sz w:val="32"/>
          <w:szCs w:val="32"/>
          <w:lang w:val="en-US" w:eastAsia="zh-CN"/>
        </w:rPr>
        <w:t>园子</w:t>
      </w:r>
      <w:r>
        <w:rPr>
          <w:rFonts w:hint="eastAsia" w:ascii="仿宋_GB2312" w:hAnsi="宋体" w:eastAsia="仿宋_GB2312" w:cs="宋体"/>
          <w:kern w:val="0"/>
          <w:sz w:val="32"/>
          <w:szCs w:val="32"/>
        </w:rPr>
        <w:t>幼儿园2021年收入总预算</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万元，其中：本年收入</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万元，上年结转结余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万元；支出总预算</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万元，其中：本年支出</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万元，年末结转结余</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本年收入包括：财政拨款预算收入</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%；上级补助预算收入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%；附属单位上缴预算收入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%；非同级财政拨款预算收入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%；投资预算收益</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%；其他预算收入</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left="178" w:leftChars="85" w:firstLine="361" w:firstLineChars="113"/>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本年支出包括：行政支出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%；事业支出</w:t>
      </w:r>
      <w:r>
        <w:rPr>
          <w:rFonts w:hint="eastAsia" w:ascii="仿宋_GB2312" w:hAnsi="宋体" w:eastAsia="仿宋_GB2312" w:cs="宋体"/>
          <w:kern w:val="0"/>
          <w:sz w:val="32"/>
          <w:szCs w:val="32"/>
          <w:lang w:val="en-US" w:eastAsia="zh-CN"/>
        </w:rPr>
        <w:t>13.2449</w:t>
      </w:r>
      <w:r>
        <w:rPr>
          <w:rFonts w:hint="eastAsia" w:ascii="仿宋_GB2312" w:hAnsi="宋体" w:eastAsia="仿宋_GB2312" w:cs="宋体"/>
          <w:kern w:val="0"/>
          <w:sz w:val="32"/>
          <w:szCs w:val="32"/>
        </w:rPr>
        <w:t>万元，占</w:t>
      </w:r>
      <w:r>
        <w:rPr>
          <w:rFonts w:hint="eastAsia" w:ascii="仿宋_GB2312" w:hAnsi="宋体" w:eastAsia="仿宋_GB2312" w:cs="宋体"/>
          <w:kern w:val="0"/>
          <w:sz w:val="32"/>
          <w:szCs w:val="32"/>
          <w:lang w:val="en-US" w:eastAsia="zh-CN"/>
        </w:rPr>
        <w:t>10</w:t>
      </w:r>
      <w:r>
        <w:rPr>
          <w:rFonts w:ascii="仿宋_GB2312" w:hAnsi="宋体" w:eastAsia="仿宋_GB2312" w:cs="宋体"/>
          <w:kern w:val="0"/>
          <w:sz w:val="32"/>
          <w:szCs w:val="32"/>
        </w:rPr>
        <w:t>0</w:t>
      </w:r>
      <w:r>
        <w:rPr>
          <w:rFonts w:hint="eastAsia" w:ascii="仿宋_GB2312" w:hAnsi="宋体" w:eastAsia="仿宋_GB2312" w:cs="宋体"/>
          <w:kern w:val="0"/>
          <w:sz w:val="32"/>
          <w:szCs w:val="32"/>
        </w:rPr>
        <w:t>%；经营支出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%；上缴上级支出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%；对附属单位补助支出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%；投资支出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%；债务还本支出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%；其他支出</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万元，占</w:t>
      </w:r>
      <w:r>
        <w:rPr>
          <w:rFonts w:ascii="仿宋_GB2312" w:hAnsi="宋体" w:eastAsia="仿宋_GB2312" w:cs="宋体"/>
          <w:kern w:val="0"/>
          <w:sz w:val="32"/>
          <w:szCs w:val="32"/>
        </w:rPr>
        <w:t>0</w:t>
      </w:r>
      <w:r>
        <w:rPr>
          <w:rFonts w:hint="eastAsia" w:ascii="仿宋_GB2312" w:hAnsi="宋体" w:eastAsia="仿宋_GB2312" w:cs="宋体"/>
          <w:kern w:val="0"/>
          <w:sz w:val="32"/>
          <w:szCs w:val="32"/>
        </w:rPr>
        <w:t>%。</w:t>
      </w:r>
    </w:p>
    <w:p>
      <w:pPr>
        <w:widowControl/>
        <w:spacing w:line="560" w:lineRule="exact"/>
        <w:ind w:firstLine="480"/>
        <w:jc w:val="left"/>
        <w:rPr>
          <w:rFonts w:ascii="黑体" w:hAnsi="宋体" w:eastAsia="黑体" w:cs="宋体"/>
          <w:b/>
          <w:bCs/>
          <w:kern w:val="0"/>
          <w:sz w:val="32"/>
          <w:szCs w:val="32"/>
        </w:rPr>
      </w:pPr>
      <w:r>
        <w:rPr>
          <w:rFonts w:hint="eastAsia" w:ascii="黑体" w:hAnsi="宋体" w:eastAsia="黑体" w:cs="宋体"/>
          <w:b/>
          <w:bCs/>
          <w:kern w:val="0"/>
          <w:sz w:val="32"/>
          <w:szCs w:val="32"/>
        </w:rPr>
        <w:t>六、其他重要事项的情况说明</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（一）机关运行经费</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（二）政府采购情况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（三）国有资产占用使用情况</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截至2020年12月31日，银川市金凤区</w:t>
      </w:r>
      <w:r>
        <w:rPr>
          <w:rFonts w:hint="eastAsia" w:ascii="仿宋_GB2312" w:hAnsi="宋体" w:eastAsia="仿宋_GB2312" w:cs="宋体"/>
          <w:kern w:val="0"/>
          <w:sz w:val="32"/>
          <w:szCs w:val="32"/>
          <w:lang w:val="en-US" w:eastAsia="zh-CN"/>
        </w:rPr>
        <w:t>园子</w:t>
      </w:r>
      <w:r>
        <w:rPr>
          <w:rFonts w:hint="eastAsia" w:ascii="仿宋_GB2312" w:hAnsi="宋体" w:eastAsia="仿宋_GB2312" w:cs="宋体"/>
          <w:kern w:val="0"/>
          <w:sz w:val="32"/>
          <w:szCs w:val="32"/>
        </w:rPr>
        <w:t>幼儿园占用使用国有资产总体情况为房屋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万元。国有资产分布情况为：</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本级部门房屋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所属单位房屋</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万元；土地</w:t>
      </w:r>
      <w:r>
        <w:rPr>
          <w:rFonts w:ascii="仿宋_GB2312" w:hAnsi="宋体" w:eastAsia="仿宋_GB2312" w:cs="宋体"/>
          <w:kern w:val="0"/>
          <w:sz w:val="32"/>
          <w:szCs w:val="32"/>
        </w:rPr>
        <w:t>0</w:t>
      </w:r>
      <w:r>
        <w:rPr>
          <w:rFonts w:hint="eastAsia" w:ascii="仿宋_GB2312" w:hAnsi="宋体" w:eastAsia="仿宋_GB2312" w:cs="宋体"/>
          <w:kern w:val="0"/>
          <w:sz w:val="32"/>
          <w:szCs w:val="32"/>
        </w:rPr>
        <w:t>平方米，价值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万元；车辆</w:t>
      </w:r>
      <w:r>
        <w:rPr>
          <w:rFonts w:ascii="仿宋_GB2312" w:hAnsi="宋体" w:eastAsia="仿宋_GB2312" w:cs="宋体"/>
          <w:kern w:val="0"/>
          <w:sz w:val="32"/>
          <w:szCs w:val="32"/>
        </w:rPr>
        <w:t>0</w:t>
      </w:r>
      <w:r>
        <w:rPr>
          <w:rFonts w:hint="eastAsia" w:ascii="仿宋_GB2312" w:hAnsi="宋体" w:eastAsia="仿宋_GB2312" w:cs="宋体"/>
          <w:kern w:val="0"/>
          <w:sz w:val="32"/>
          <w:szCs w:val="32"/>
        </w:rPr>
        <w:t>辆，价值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万元；办公家具价值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万元；其他资产价值</w:t>
      </w:r>
      <w:r>
        <w:rPr>
          <w:rFonts w:ascii="仿宋_GB2312" w:hAnsi="宋体" w:eastAsia="仿宋_GB2312" w:cs="宋体"/>
          <w:kern w:val="0"/>
          <w:sz w:val="32"/>
          <w:szCs w:val="32"/>
        </w:rPr>
        <w:t>0</w:t>
      </w:r>
      <w:r>
        <w:rPr>
          <w:rFonts w:hint="eastAsia" w:ascii="仿宋_GB2312" w:hAnsi="宋体" w:eastAsia="仿宋_GB2312" w:cs="宋体"/>
          <w:kern w:val="0"/>
          <w:sz w:val="32"/>
          <w:szCs w:val="32"/>
        </w:rPr>
        <w:t>万元。</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（四）预算绩效情况</w:t>
      </w:r>
    </w:p>
    <w:p>
      <w:pPr>
        <w:widowControl/>
        <w:spacing w:line="560" w:lineRule="exact"/>
        <w:ind w:firstLine="1600" w:firstLineChars="5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无</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（五）其他需说明的事项</w:t>
      </w:r>
    </w:p>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无</w:t>
      </w:r>
    </w:p>
    <w:p>
      <w:pPr>
        <w:widowControl/>
        <w:spacing w:line="560" w:lineRule="exact"/>
        <w:ind w:firstLine="480"/>
        <w:jc w:val="left"/>
        <w:rPr>
          <w:rFonts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60" w:lineRule="exact"/>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hint="eastAsia" w:ascii="仿宋_GB2312" w:hAnsi="宋体" w:eastAsia="仿宋_GB2312"/>
          <w:b/>
          <w:bCs/>
          <w:kern w:val="0"/>
          <w:sz w:val="36"/>
          <w:szCs w:val="36"/>
        </w:rPr>
      </w:pPr>
    </w:p>
    <w:p>
      <w:pPr>
        <w:widowControl/>
        <w:ind w:firstLine="1807" w:firstLineChars="500"/>
        <w:jc w:val="left"/>
        <w:outlineLvl w:val="1"/>
        <w:rPr>
          <w:rFonts w:ascii="仿宋_GB2312" w:hAnsi="宋体" w:eastAsia="仿宋_GB2312"/>
          <w:b/>
          <w:bCs/>
          <w:kern w:val="0"/>
          <w:sz w:val="36"/>
          <w:szCs w:val="36"/>
        </w:rPr>
      </w:pPr>
      <w:r>
        <w:rPr>
          <w:rFonts w:hint="eastAsia" w:ascii="仿宋_GB2312" w:hAnsi="宋体" w:eastAsia="仿宋_GB2312"/>
          <w:b/>
          <w:bCs/>
          <w:kern w:val="0"/>
          <w:sz w:val="36"/>
          <w:szCs w:val="36"/>
        </w:rPr>
        <w:t>2021年部门预算——名词解释</w:t>
      </w:r>
    </w:p>
    <w:p>
      <w:pPr>
        <w:widowControl/>
        <w:jc w:val="left"/>
        <w:outlineLvl w:val="1"/>
        <w:rPr>
          <w:rFonts w:ascii="仿宋_GB2312" w:hAnsi="宋体" w:eastAsia="仿宋_GB2312"/>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一、支出功能分类科目编码、名称</w:t>
      </w:r>
      <w:r>
        <w:rPr>
          <w:rFonts w:hint="eastAsia" w:ascii="仿宋" w:hAnsi="仿宋" w:eastAsia="仿宋" w:cs="宋体"/>
          <w:kern w:val="0"/>
          <w:sz w:val="32"/>
          <w:szCs w:val="32"/>
        </w:rPr>
        <w:t>：按照《2021年政府收支分类科目》“类”、“款”、“项”的编码和名称填列</w:t>
      </w:r>
      <w:r>
        <w:rPr>
          <w:rFonts w:hint="eastAsia" w:ascii="宋体" w:hAnsi="宋体" w:eastAsia="仿宋" w:cs="宋体"/>
          <w:kern w:val="0"/>
          <w:sz w:val="32"/>
          <w:szCs w:val="32"/>
        </w:rPr>
        <w:t>。</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二、年初结转和结余</w:t>
      </w:r>
      <w:r>
        <w:rPr>
          <w:rFonts w:hint="eastAsia" w:ascii="仿宋" w:hAnsi="仿宋" w:eastAsia="仿宋" w:cs="宋体"/>
          <w:kern w:val="0"/>
          <w:sz w:val="32"/>
          <w:szCs w:val="32"/>
        </w:rPr>
        <w:t>：是指单位上年结转本年使用的基本支出结转、项目支出结转和结余和经营结余。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三、基本支出结转</w:t>
      </w:r>
      <w:r>
        <w:rPr>
          <w:rFonts w:hint="eastAsia" w:ascii="仿宋" w:hAnsi="仿宋" w:eastAsia="仿宋" w:cs="宋体"/>
          <w:kern w:val="0"/>
          <w:sz w:val="32"/>
          <w:szCs w:val="32"/>
        </w:rPr>
        <w:t>：是指单位基本支出收支相抵后结转本年使用的累计余额，包括事业单位未转入事业基金的基本支出结转。</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四、项目支出结转和结余</w:t>
      </w:r>
      <w:r>
        <w:rPr>
          <w:rFonts w:hint="eastAsia" w:ascii="仿宋" w:hAnsi="仿宋" w:eastAsia="仿宋" w:cs="宋体"/>
          <w:kern w:val="0"/>
          <w:sz w:val="32"/>
          <w:szCs w:val="32"/>
        </w:rPr>
        <w:t>：是指单位从财政部门或上级单位等取得，需要结转本年继续使用的项目支出收支累计余额。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五、基本建设资金结转和结余</w:t>
      </w:r>
      <w:r>
        <w:rPr>
          <w:rFonts w:hint="eastAsia" w:ascii="仿宋" w:hAnsi="仿宋" w:eastAsia="仿宋" w:cs="宋体"/>
          <w:kern w:val="0"/>
          <w:sz w:val="32"/>
          <w:szCs w:val="32"/>
        </w:rPr>
        <w:t>：是指单位基本建设类资金中非偿还性资金结转本年使用的累计余额。</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六、本年收入</w:t>
      </w:r>
      <w:r>
        <w:rPr>
          <w:rFonts w:hint="eastAsia" w:ascii="仿宋" w:hAnsi="仿宋" w:eastAsia="仿宋" w:cs="宋体"/>
          <w:kern w:val="0"/>
          <w:sz w:val="32"/>
          <w:szCs w:val="32"/>
        </w:rPr>
        <w:t>：是指单位本年度取得的全部收入。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七、本年支出</w:t>
      </w:r>
      <w:r>
        <w:rPr>
          <w:rFonts w:hint="eastAsia" w:ascii="仿宋" w:hAnsi="仿宋" w:eastAsia="仿宋" w:cs="宋体"/>
          <w:kern w:val="0"/>
          <w:sz w:val="32"/>
          <w:szCs w:val="32"/>
        </w:rPr>
        <w:t>：是指单位本年度全部支出。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八、结余分配</w:t>
      </w:r>
      <w:r>
        <w:rPr>
          <w:rFonts w:hint="eastAsia" w:ascii="仿宋" w:hAnsi="仿宋" w:eastAsia="仿宋" w:cs="宋体"/>
          <w:kern w:val="0"/>
          <w:sz w:val="32"/>
          <w:szCs w:val="32"/>
        </w:rPr>
        <w:t>：是指单位当年结余的分配情况。</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九、年末结转和结余</w:t>
      </w:r>
      <w:r>
        <w:rPr>
          <w:rFonts w:hint="eastAsia" w:ascii="仿宋" w:hAnsi="仿宋" w:eastAsia="仿宋" w:cs="宋体"/>
          <w:kern w:val="0"/>
          <w:sz w:val="32"/>
          <w:szCs w:val="32"/>
        </w:rPr>
        <w:t>：是指单位结转下年的基本支出结转、项目支出结转和结余和经营结余。</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十、财政拨款收入</w:t>
      </w:r>
      <w:r>
        <w:rPr>
          <w:rFonts w:hint="eastAsia" w:ascii="仿宋" w:hAnsi="仿宋" w:eastAsia="仿宋" w:cs="宋体"/>
          <w:kern w:val="0"/>
          <w:sz w:val="32"/>
          <w:szCs w:val="32"/>
        </w:rPr>
        <w:t>：是指单位本年度从本级财政部门取得的财政拨款，包括一般公共预算财政拨款和政府性基金预算财政拨款。</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十一、事业收入</w:t>
      </w:r>
      <w:r>
        <w:rPr>
          <w:rFonts w:hint="eastAsia" w:ascii="仿宋" w:hAnsi="仿宋" w:eastAsia="仿宋" w:cs="宋体"/>
          <w:kern w:val="0"/>
          <w:sz w:val="32"/>
          <w:szCs w:val="32"/>
        </w:rPr>
        <w:t>：是指事业单位开展专业业务活动及其辅助活动取得的收入。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十二、经营收入</w:t>
      </w:r>
      <w:r>
        <w:rPr>
          <w:rFonts w:hint="eastAsia" w:ascii="仿宋" w:hAnsi="仿宋" w:eastAsia="仿宋" w:cs="宋体"/>
          <w:kern w:val="0"/>
          <w:sz w:val="32"/>
          <w:szCs w:val="32"/>
        </w:rPr>
        <w:t>：是指事业单位在专业业务活动及其辅助活动之外开展非独立核算经营活动取得的收入。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十三、其他收入</w:t>
      </w:r>
      <w:r>
        <w:rPr>
          <w:rFonts w:hint="eastAsia" w:ascii="仿宋" w:hAnsi="仿宋" w:eastAsia="仿宋" w:cs="宋体"/>
          <w:kern w:val="0"/>
          <w:sz w:val="32"/>
          <w:szCs w:val="32"/>
        </w:rPr>
        <w:t>：是指单位取得的除“财政拨款收入”、“事业收入”、“经营收入”等以外的各项收入。</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十四、基本支出</w:t>
      </w:r>
      <w:r>
        <w:rPr>
          <w:rFonts w:hint="eastAsia" w:ascii="仿宋" w:hAnsi="仿宋" w:eastAsia="仿宋" w:cs="宋体"/>
          <w:kern w:val="0"/>
          <w:sz w:val="32"/>
          <w:szCs w:val="32"/>
        </w:rPr>
        <w:t>：是指单位为保障机构正常运转、完成日常工作任务而发生的各项支出。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十五、项目支出</w:t>
      </w:r>
      <w:r>
        <w:rPr>
          <w:rFonts w:hint="eastAsia" w:ascii="仿宋" w:hAnsi="仿宋" w:eastAsia="仿宋" w:cs="宋体"/>
          <w:kern w:val="0"/>
          <w:sz w:val="32"/>
          <w:szCs w:val="32"/>
        </w:rPr>
        <w:t>：是指单位为完成特定的行政工作任务或事业发展目标，在基本支出之外发生的各项支出。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十六、经营支出</w:t>
      </w:r>
      <w:r>
        <w:rPr>
          <w:rFonts w:hint="eastAsia" w:ascii="仿宋" w:hAnsi="仿宋" w:eastAsia="仿宋" w:cs="宋体"/>
          <w:kern w:val="0"/>
          <w:sz w:val="32"/>
          <w:szCs w:val="32"/>
        </w:rPr>
        <w:t>：是指事业单位在专业活动及辅助活动之外开展非独立核算经营活动发生的支出。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十七、人员经费</w:t>
      </w:r>
      <w:r>
        <w:rPr>
          <w:rFonts w:hint="eastAsia" w:ascii="仿宋" w:hAnsi="仿宋" w:eastAsia="仿宋" w:cs="宋体"/>
          <w:kern w:val="0"/>
          <w:sz w:val="32"/>
          <w:szCs w:val="32"/>
        </w:rPr>
        <w:t>：是指单位基本支出中用一般公共预算财政拨款安排的“工资福利支出”和“对个人和家庭的补助”。</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十八、日常公用经费</w:t>
      </w:r>
      <w:r>
        <w:rPr>
          <w:rFonts w:hint="eastAsia" w:ascii="仿宋" w:hAnsi="仿宋" w:eastAsia="仿宋" w:cs="宋体"/>
          <w:kern w:val="0"/>
          <w:sz w:val="32"/>
          <w:szCs w:val="32"/>
        </w:rPr>
        <w:t>：是指单位用一般公共预算财政拨款安排的除人员经费以外的基本支出。</w:t>
      </w:r>
      <w:r>
        <w:rPr>
          <w:rFonts w:hint="eastAsia" w:ascii="宋体" w:hAnsi="宋体" w:eastAsia="仿宋" w:cs="宋体"/>
          <w:kern w:val="0"/>
          <w:sz w:val="32"/>
          <w:szCs w:val="32"/>
        </w:rPr>
        <w:t> </w:t>
      </w:r>
    </w:p>
    <w:p>
      <w:pPr>
        <w:widowControl/>
        <w:spacing w:before="240" w:after="240"/>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bCs/>
          <w:kern w:val="0"/>
          <w:sz w:val="32"/>
          <w:szCs w:val="32"/>
        </w:rPr>
        <w:t>十九、“三公”经费</w:t>
      </w:r>
      <w:r>
        <w:rPr>
          <w:rFonts w:hint="eastAsia" w:ascii="仿宋" w:hAnsi="仿宋" w:eastAsia="仿宋" w:cs="宋体"/>
          <w:kern w:val="0"/>
          <w:sz w:val="32"/>
          <w:szCs w:val="32"/>
        </w:rPr>
        <w:t>：纳入中央财政预决算管理的“三公”经费，是指中央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hint="eastAsia" w:ascii="宋体" w:hAnsi="宋体" w:eastAsia="仿宋" w:cs="宋体"/>
          <w:kern w:val="0"/>
          <w:sz w:val="32"/>
          <w:szCs w:val="32"/>
        </w:rPr>
        <w:t> </w:t>
      </w:r>
    </w:p>
    <w:p>
      <w:pPr>
        <w:widowControl/>
        <w:spacing w:before="240" w:after="240"/>
        <w:ind w:firstLine="645"/>
        <w:jc w:val="left"/>
        <w:rPr>
          <w:rFonts w:ascii="仿宋" w:hAnsi="仿宋" w:eastAsia="仿宋" w:cs="宋体"/>
          <w:bCs/>
          <w:kern w:val="0"/>
          <w:sz w:val="32"/>
          <w:szCs w:val="32"/>
        </w:rPr>
      </w:pPr>
      <w:r>
        <w:rPr>
          <w:rFonts w:hint="eastAsia" w:ascii="仿宋" w:hAnsi="仿宋" w:eastAsia="仿宋" w:cs="宋体"/>
          <w:b/>
          <w:bCs/>
          <w:kern w:val="0"/>
          <w:sz w:val="32"/>
          <w:szCs w:val="32"/>
        </w:rPr>
        <w:t>二十、机关运行经费：</w:t>
      </w:r>
      <w:r>
        <w:rPr>
          <w:rFonts w:hint="eastAsia" w:ascii="仿宋" w:hAnsi="仿宋" w:eastAsia="仿宋" w:cs="宋体"/>
          <w:bCs/>
          <w:kern w:val="0"/>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360" w:lineRule="auto"/>
        <w:ind w:firstLine="643" w:firstLineChars="200"/>
        <w:jc w:val="left"/>
        <w:rPr>
          <w:rFonts w:ascii="仿宋" w:hAnsi="仿宋" w:eastAsia="仿宋"/>
          <w:b/>
          <w:kern w:val="0"/>
          <w:sz w:val="32"/>
          <w:szCs w:val="32"/>
        </w:rPr>
      </w:pPr>
      <w:r>
        <w:rPr>
          <w:rFonts w:hint="eastAsia" w:ascii="仿宋" w:hAnsi="仿宋" w:eastAsia="仿宋"/>
          <w:b/>
          <w:kern w:val="0"/>
          <w:sz w:val="32"/>
          <w:szCs w:val="32"/>
        </w:rPr>
        <w:t>请各预算单位按照具体情况选取适用于本单位的名词解释公开即可。</w:t>
      </w:r>
    </w:p>
    <w:p>
      <w:pPr>
        <w:widowControl/>
        <w:spacing w:before="240" w:after="240"/>
        <w:ind w:firstLine="645"/>
        <w:jc w:val="left"/>
        <w:rPr>
          <w:rFonts w:ascii="仿宋" w:hAnsi="仿宋" w:eastAsia="仿宋" w:cs="宋体"/>
          <w:bCs/>
          <w:kern w:val="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23</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01"/>
    <w:rsid w:val="000057A8"/>
    <w:rsid w:val="000145BA"/>
    <w:rsid w:val="00043F07"/>
    <w:rsid w:val="0006670E"/>
    <w:rsid w:val="000831C0"/>
    <w:rsid w:val="000858CD"/>
    <w:rsid w:val="00095461"/>
    <w:rsid w:val="000C42AF"/>
    <w:rsid w:val="000D7B37"/>
    <w:rsid w:val="00135137"/>
    <w:rsid w:val="0013519B"/>
    <w:rsid w:val="0015526B"/>
    <w:rsid w:val="00176337"/>
    <w:rsid w:val="001A5F33"/>
    <w:rsid w:val="001A68AF"/>
    <w:rsid w:val="001B3655"/>
    <w:rsid w:val="001C1D11"/>
    <w:rsid w:val="001E2B95"/>
    <w:rsid w:val="0022537E"/>
    <w:rsid w:val="0023640E"/>
    <w:rsid w:val="00267194"/>
    <w:rsid w:val="00295D0F"/>
    <w:rsid w:val="002C4BD6"/>
    <w:rsid w:val="002D19BE"/>
    <w:rsid w:val="002E78B6"/>
    <w:rsid w:val="002F53FA"/>
    <w:rsid w:val="00322E88"/>
    <w:rsid w:val="003379A6"/>
    <w:rsid w:val="00341CFB"/>
    <w:rsid w:val="0035076A"/>
    <w:rsid w:val="00375123"/>
    <w:rsid w:val="003A44E5"/>
    <w:rsid w:val="003B5F79"/>
    <w:rsid w:val="003B6E94"/>
    <w:rsid w:val="003F169E"/>
    <w:rsid w:val="003F3A6D"/>
    <w:rsid w:val="00401DC4"/>
    <w:rsid w:val="00423519"/>
    <w:rsid w:val="004379C6"/>
    <w:rsid w:val="00447276"/>
    <w:rsid w:val="004656F2"/>
    <w:rsid w:val="004725D4"/>
    <w:rsid w:val="00480549"/>
    <w:rsid w:val="00484DD2"/>
    <w:rsid w:val="004858B2"/>
    <w:rsid w:val="004B2681"/>
    <w:rsid w:val="004D2CAD"/>
    <w:rsid w:val="004E506D"/>
    <w:rsid w:val="00565B9A"/>
    <w:rsid w:val="00571B0D"/>
    <w:rsid w:val="005A4605"/>
    <w:rsid w:val="005B07C7"/>
    <w:rsid w:val="005C3E29"/>
    <w:rsid w:val="005E4A5E"/>
    <w:rsid w:val="005E514F"/>
    <w:rsid w:val="006005FB"/>
    <w:rsid w:val="00616416"/>
    <w:rsid w:val="0062119E"/>
    <w:rsid w:val="0062762F"/>
    <w:rsid w:val="00627DAC"/>
    <w:rsid w:val="0063712A"/>
    <w:rsid w:val="00673569"/>
    <w:rsid w:val="00683EA6"/>
    <w:rsid w:val="006C056F"/>
    <w:rsid w:val="006C5B18"/>
    <w:rsid w:val="006C5E08"/>
    <w:rsid w:val="00702575"/>
    <w:rsid w:val="00737976"/>
    <w:rsid w:val="00765CFD"/>
    <w:rsid w:val="00797C6A"/>
    <w:rsid w:val="007A2546"/>
    <w:rsid w:val="007E5001"/>
    <w:rsid w:val="00806D8F"/>
    <w:rsid w:val="00821C98"/>
    <w:rsid w:val="00830EBE"/>
    <w:rsid w:val="008951C4"/>
    <w:rsid w:val="008C415B"/>
    <w:rsid w:val="00926C87"/>
    <w:rsid w:val="00955E13"/>
    <w:rsid w:val="009C5522"/>
    <w:rsid w:val="009D12EE"/>
    <w:rsid w:val="009F1323"/>
    <w:rsid w:val="00A04D0E"/>
    <w:rsid w:val="00A16743"/>
    <w:rsid w:val="00A24808"/>
    <w:rsid w:val="00A27798"/>
    <w:rsid w:val="00A63BB9"/>
    <w:rsid w:val="00A72DC8"/>
    <w:rsid w:val="00AB0C5B"/>
    <w:rsid w:val="00AB3815"/>
    <w:rsid w:val="00AC24ED"/>
    <w:rsid w:val="00AC560B"/>
    <w:rsid w:val="00AD7672"/>
    <w:rsid w:val="00AE341C"/>
    <w:rsid w:val="00AE6E7F"/>
    <w:rsid w:val="00B272E9"/>
    <w:rsid w:val="00B70EFD"/>
    <w:rsid w:val="00BF3EE9"/>
    <w:rsid w:val="00C05188"/>
    <w:rsid w:val="00C53A1E"/>
    <w:rsid w:val="00C54A32"/>
    <w:rsid w:val="00CA0B80"/>
    <w:rsid w:val="00CB2919"/>
    <w:rsid w:val="00CC1DE0"/>
    <w:rsid w:val="00CE7FCB"/>
    <w:rsid w:val="00CF4C56"/>
    <w:rsid w:val="00D05037"/>
    <w:rsid w:val="00D241FF"/>
    <w:rsid w:val="00D61F97"/>
    <w:rsid w:val="00D62C7C"/>
    <w:rsid w:val="00D66148"/>
    <w:rsid w:val="00D77DE1"/>
    <w:rsid w:val="00D82D77"/>
    <w:rsid w:val="00D953BC"/>
    <w:rsid w:val="00DA2209"/>
    <w:rsid w:val="00DA2C8F"/>
    <w:rsid w:val="00DB1945"/>
    <w:rsid w:val="00DD5905"/>
    <w:rsid w:val="00DE52E6"/>
    <w:rsid w:val="00DE70AB"/>
    <w:rsid w:val="00DF1E87"/>
    <w:rsid w:val="00E00861"/>
    <w:rsid w:val="00E0407D"/>
    <w:rsid w:val="00E06E2A"/>
    <w:rsid w:val="00E14322"/>
    <w:rsid w:val="00E21502"/>
    <w:rsid w:val="00E41378"/>
    <w:rsid w:val="00E71508"/>
    <w:rsid w:val="00E82D24"/>
    <w:rsid w:val="00EB04E5"/>
    <w:rsid w:val="00EB3277"/>
    <w:rsid w:val="00ED10DD"/>
    <w:rsid w:val="00F34818"/>
    <w:rsid w:val="00F832C0"/>
    <w:rsid w:val="00FB2A8B"/>
    <w:rsid w:val="02952970"/>
    <w:rsid w:val="0311345D"/>
    <w:rsid w:val="03305C10"/>
    <w:rsid w:val="047A04F6"/>
    <w:rsid w:val="054D0199"/>
    <w:rsid w:val="073F63D3"/>
    <w:rsid w:val="082B10DE"/>
    <w:rsid w:val="091E436E"/>
    <w:rsid w:val="09335A87"/>
    <w:rsid w:val="0AFC3A3D"/>
    <w:rsid w:val="0B014985"/>
    <w:rsid w:val="0B4064C3"/>
    <w:rsid w:val="0B7D100B"/>
    <w:rsid w:val="0BAD7944"/>
    <w:rsid w:val="0C37721F"/>
    <w:rsid w:val="0E232D9A"/>
    <w:rsid w:val="0E374EE4"/>
    <w:rsid w:val="0E9C4DBC"/>
    <w:rsid w:val="0EC52024"/>
    <w:rsid w:val="10996A69"/>
    <w:rsid w:val="10DA73EF"/>
    <w:rsid w:val="1108480E"/>
    <w:rsid w:val="11BE730C"/>
    <w:rsid w:val="129C719F"/>
    <w:rsid w:val="13196D85"/>
    <w:rsid w:val="13DF1E6A"/>
    <w:rsid w:val="14B33E31"/>
    <w:rsid w:val="15A90216"/>
    <w:rsid w:val="163F61D2"/>
    <w:rsid w:val="16C74F23"/>
    <w:rsid w:val="16F93413"/>
    <w:rsid w:val="17E40AD3"/>
    <w:rsid w:val="18D83764"/>
    <w:rsid w:val="19D36EB1"/>
    <w:rsid w:val="1AE35523"/>
    <w:rsid w:val="1B327DDF"/>
    <w:rsid w:val="1B583BB7"/>
    <w:rsid w:val="1CB604F6"/>
    <w:rsid w:val="1DCB3CD1"/>
    <w:rsid w:val="1E135954"/>
    <w:rsid w:val="1E505A25"/>
    <w:rsid w:val="1E5A1B5E"/>
    <w:rsid w:val="1EA40206"/>
    <w:rsid w:val="1F337449"/>
    <w:rsid w:val="200F2581"/>
    <w:rsid w:val="207B65AB"/>
    <w:rsid w:val="20CF191F"/>
    <w:rsid w:val="20F36FD7"/>
    <w:rsid w:val="21091299"/>
    <w:rsid w:val="218F45D8"/>
    <w:rsid w:val="2199637E"/>
    <w:rsid w:val="22265947"/>
    <w:rsid w:val="228A7EBE"/>
    <w:rsid w:val="25E50D35"/>
    <w:rsid w:val="26010E59"/>
    <w:rsid w:val="2816323E"/>
    <w:rsid w:val="290474E7"/>
    <w:rsid w:val="290B3142"/>
    <w:rsid w:val="292E3725"/>
    <w:rsid w:val="2B361E6B"/>
    <w:rsid w:val="2B384F18"/>
    <w:rsid w:val="2B45689D"/>
    <w:rsid w:val="2D3507B4"/>
    <w:rsid w:val="2EAF78CB"/>
    <w:rsid w:val="2EBC268F"/>
    <w:rsid w:val="2F9B0BD2"/>
    <w:rsid w:val="2FB26832"/>
    <w:rsid w:val="302902C2"/>
    <w:rsid w:val="30750081"/>
    <w:rsid w:val="31442A91"/>
    <w:rsid w:val="31467494"/>
    <w:rsid w:val="3191350D"/>
    <w:rsid w:val="31ED0A66"/>
    <w:rsid w:val="32E85C25"/>
    <w:rsid w:val="3468780D"/>
    <w:rsid w:val="354E7943"/>
    <w:rsid w:val="36EC5E19"/>
    <w:rsid w:val="37030FE9"/>
    <w:rsid w:val="37A65DC3"/>
    <w:rsid w:val="37EF15DC"/>
    <w:rsid w:val="38032443"/>
    <w:rsid w:val="394E7CBD"/>
    <w:rsid w:val="39C20C44"/>
    <w:rsid w:val="3A5B4165"/>
    <w:rsid w:val="3A702D1E"/>
    <w:rsid w:val="3A7E3E97"/>
    <w:rsid w:val="3BA9431F"/>
    <w:rsid w:val="3BEA214E"/>
    <w:rsid w:val="3D374E2D"/>
    <w:rsid w:val="3F184B5F"/>
    <w:rsid w:val="3F1B3646"/>
    <w:rsid w:val="3F4D2725"/>
    <w:rsid w:val="3F521FF4"/>
    <w:rsid w:val="40394D39"/>
    <w:rsid w:val="41F80830"/>
    <w:rsid w:val="43242A7F"/>
    <w:rsid w:val="434A736C"/>
    <w:rsid w:val="447F1E47"/>
    <w:rsid w:val="44B21AB0"/>
    <w:rsid w:val="45587263"/>
    <w:rsid w:val="45B7634D"/>
    <w:rsid w:val="47977D29"/>
    <w:rsid w:val="47E41EC6"/>
    <w:rsid w:val="47FA4CF7"/>
    <w:rsid w:val="48C008DC"/>
    <w:rsid w:val="49F64785"/>
    <w:rsid w:val="4B134913"/>
    <w:rsid w:val="4F82395D"/>
    <w:rsid w:val="508B0033"/>
    <w:rsid w:val="526B28FF"/>
    <w:rsid w:val="52C3276B"/>
    <w:rsid w:val="53342F5D"/>
    <w:rsid w:val="5342416F"/>
    <w:rsid w:val="53527AB7"/>
    <w:rsid w:val="535D7042"/>
    <w:rsid w:val="55EE1315"/>
    <w:rsid w:val="565D69CD"/>
    <w:rsid w:val="56CD4DE1"/>
    <w:rsid w:val="57730E5F"/>
    <w:rsid w:val="577632E4"/>
    <w:rsid w:val="57A30866"/>
    <w:rsid w:val="57C5764C"/>
    <w:rsid w:val="59F622AC"/>
    <w:rsid w:val="59F7117C"/>
    <w:rsid w:val="5A0C5B8D"/>
    <w:rsid w:val="5A971362"/>
    <w:rsid w:val="5BB83D8F"/>
    <w:rsid w:val="5C0C3F84"/>
    <w:rsid w:val="5D022D0F"/>
    <w:rsid w:val="5D1500AE"/>
    <w:rsid w:val="5D8A1398"/>
    <w:rsid w:val="5D9545D2"/>
    <w:rsid w:val="5DC12126"/>
    <w:rsid w:val="5E2E2007"/>
    <w:rsid w:val="5EAE7439"/>
    <w:rsid w:val="5F382063"/>
    <w:rsid w:val="5F9E0032"/>
    <w:rsid w:val="606C168B"/>
    <w:rsid w:val="6080570C"/>
    <w:rsid w:val="616D17A4"/>
    <w:rsid w:val="61D73A1B"/>
    <w:rsid w:val="61FF5BA7"/>
    <w:rsid w:val="62206274"/>
    <w:rsid w:val="628806C0"/>
    <w:rsid w:val="6405259B"/>
    <w:rsid w:val="656B6720"/>
    <w:rsid w:val="6575395A"/>
    <w:rsid w:val="65CF228F"/>
    <w:rsid w:val="66C875F5"/>
    <w:rsid w:val="679E689E"/>
    <w:rsid w:val="67DC0065"/>
    <w:rsid w:val="68751A8C"/>
    <w:rsid w:val="692038CD"/>
    <w:rsid w:val="6B0130F1"/>
    <w:rsid w:val="6BB5308D"/>
    <w:rsid w:val="6E1564A7"/>
    <w:rsid w:val="6F0773E7"/>
    <w:rsid w:val="709B3DA0"/>
    <w:rsid w:val="72EE5720"/>
    <w:rsid w:val="72F46C1F"/>
    <w:rsid w:val="73235C27"/>
    <w:rsid w:val="735A6B72"/>
    <w:rsid w:val="748F2A83"/>
    <w:rsid w:val="76EE728B"/>
    <w:rsid w:val="76FF3507"/>
    <w:rsid w:val="77082305"/>
    <w:rsid w:val="78482CAB"/>
    <w:rsid w:val="78494B2C"/>
    <w:rsid w:val="78A956E5"/>
    <w:rsid w:val="792F7DED"/>
    <w:rsid w:val="7ADA6224"/>
    <w:rsid w:val="7B23604E"/>
    <w:rsid w:val="7BD44857"/>
    <w:rsid w:val="7D4C4849"/>
    <w:rsid w:val="7D685B4C"/>
    <w:rsid w:val="7DBE3197"/>
    <w:rsid w:val="7DEB5AF8"/>
    <w:rsid w:val="7E767957"/>
    <w:rsid w:val="7EDC7B0D"/>
    <w:rsid w:val="7F557C0F"/>
    <w:rsid w:val="7FEE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0"/>
    <w:rPr>
      <w:sz w:val="18"/>
      <w:szCs w:val="18"/>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cs="Times New Roman"/>
      <w:b/>
      <w:bCs/>
    </w:rPr>
  </w:style>
  <w:style w:type="character" w:styleId="9">
    <w:name w:val="page number"/>
    <w:basedOn w:val="7"/>
    <w:uiPriority w:val="0"/>
  </w:style>
  <w:style w:type="character" w:customStyle="1" w:styleId="10">
    <w:name w:val="页眉 字符"/>
    <w:basedOn w:val="7"/>
    <w:link w:val="4"/>
    <w:qFormat/>
    <w:uiPriority w:val="0"/>
    <w:rPr>
      <w:sz w:val="18"/>
      <w:szCs w:val="18"/>
    </w:rPr>
  </w:style>
  <w:style w:type="character" w:customStyle="1" w:styleId="11">
    <w:name w:val="页脚 字符"/>
    <w:basedOn w:val="7"/>
    <w:link w:val="3"/>
    <w:qFormat/>
    <w:uiPriority w:val="0"/>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0"/>
    <w:rPr>
      <w:rFonts w:ascii="Times New Roman" w:hAnsi="Times New Roman" w:eastAsia="宋体" w:cs="Times New Roman"/>
      <w:sz w:val="18"/>
      <w:szCs w:val="18"/>
    </w:rPr>
  </w:style>
  <w:style w:type="paragraph" w:customStyle="1" w:styleId="14">
    <w:name w:val="Char"/>
    <w:basedOn w:val="1"/>
    <w:qFormat/>
    <w:uiPriority w:val="0"/>
    <w:pPr>
      <w:spacing w:line="360" w:lineRule="auto"/>
      <w:ind w:firstLine="200" w:firstLineChars="200"/>
    </w:pPr>
    <w:rPr>
      <w:rFonts w:ascii="宋体" w:hAnsi="宋体" w:cs="宋体"/>
      <w:sz w:val="24"/>
      <w:szCs w:val="20"/>
    </w:rPr>
  </w:style>
  <w:style w:type="character" w:customStyle="1" w:styleId="15">
    <w:name w:val="font21"/>
    <w:basedOn w:val="7"/>
    <w:qFormat/>
    <w:uiPriority w:val="0"/>
    <w:rPr>
      <w:rFonts w:hint="eastAsia" w:ascii="宋体" w:hAnsi="宋体" w:eastAsia="宋体"/>
      <w:color w:val="000000"/>
      <w:sz w:val="18"/>
      <w:szCs w:val="18"/>
      <w:u w:val="none"/>
    </w:rPr>
  </w:style>
  <w:style w:type="paragraph" w:customStyle="1" w:styleId="16">
    <w:name w:val="Char1"/>
    <w:basedOn w:val="1"/>
    <w:qFormat/>
    <w:uiPriority w:val="0"/>
    <w:pPr>
      <w:spacing w:line="360" w:lineRule="auto"/>
      <w:ind w:firstLine="200" w:firstLineChars="200"/>
    </w:pPr>
    <w:rPr>
      <w:rFonts w:ascii="宋体" w:hAnsi="宋体"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93D4B-1CA7-4F5C-8C96-8FD99376CEC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1312</Words>
  <Characters>7484</Characters>
  <Lines>62</Lines>
  <Paragraphs>17</Paragraphs>
  <TotalTime>44</TotalTime>
  <ScaleCrop>false</ScaleCrop>
  <LinksUpToDate>false</LinksUpToDate>
  <CharactersWithSpaces>8779</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2021-01-27T14:05:00Z</dcterms:created>
  <dc:creator>User</dc:creator>
  <cp:lastModifiedBy>admin</cp:lastModifiedBy>
  <cp:lastPrinted>2021-01-26T07:03:00Z</cp:lastPrinted>
  <dcterms:modified xsi:type="dcterms:W3CDTF">2021-01-29T04:07:09Z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