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b/>
          <w:kern w:val="0"/>
          <w:sz w:val="44"/>
          <w:szCs w:val="44"/>
        </w:rPr>
      </w:pPr>
      <w:r>
        <w:rPr>
          <w:rFonts w:hint="eastAsia" w:ascii="宋体" w:hAnsi="宋体"/>
          <w:b/>
          <w:kern w:val="0"/>
          <w:sz w:val="44"/>
          <w:szCs w:val="44"/>
        </w:rPr>
        <w:t>目   录</w:t>
      </w:r>
    </w:p>
    <w:p>
      <w:pPr>
        <w:widowControl/>
        <w:jc w:val="center"/>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2021年部门预算表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二、一般公共预算财政拨款支出预算表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三、一般公共预算财政拨款基本支出预算表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四、一般公共预算“三公”经费支出预算表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五、政府性基金预算财政拨款支出预算表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六、部门收支预算总表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七、部门收入预算表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八、部门支出预算表</w:t>
      </w: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2021年部门预算情况说明</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Lines="50"/>
        <w:ind w:firstLine="643" w:firstLineChars="200"/>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6"/>
          <w:szCs w:val="36"/>
        </w:rPr>
      </w:pPr>
    </w:p>
    <w:p>
      <w:pPr>
        <w:widowControl/>
        <w:jc w:val="center"/>
        <w:outlineLvl w:val="1"/>
        <w:rPr>
          <w:rFonts w:hint="eastAsia" w:ascii="仿宋_GB2312" w:hAnsi="宋体" w:eastAsia="仿宋_GB2312"/>
          <w:b/>
          <w:kern w:val="0"/>
          <w:sz w:val="36"/>
          <w:szCs w:val="36"/>
          <w:lang w:eastAsia="zh-CN"/>
        </w:rPr>
      </w:pPr>
      <w:r>
        <w:rPr>
          <w:rFonts w:hint="eastAsia" w:ascii="仿宋_GB2312" w:hAnsi="宋体" w:eastAsia="仿宋_GB2312"/>
          <w:b/>
          <w:kern w:val="0"/>
          <w:sz w:val="36"/>
          <w:szCs w:val="36"/>
          <w:lang w:eastAsia="zh-CN"/>
        </w:rPr>
        <w:t>银川市金凤区</w:t>
      </w:r>
      <w:r>
        <w:rPr>
          <w:rFonts w:hint="eastAsia" w:ascii="仿宋_GB2312" w:hAnsi="宋体" w:eastAsia="仿宋_GB2312"/>
          <w:b/>
          <w:kern w:val="0"/>
          <w:sz w:val="36"/>
          <w:szCs w:val="36"/>
          <w:lang w:val="en-US" w:eastAsia="zh-CN"/>
        </w:rPr>
        <w:t>丰登镇第二</w:t>
      </w:r>
      <w:r>
        <w:rPr>
          <w:rFonts w:hint="eastAsia" w:ascii="仿宋_GB2312" w:hAnsi="宋体" w:eastAsia="仿宋_GB2312"/>
          <w:b/>
          <w:kern w:val="0"/>
          <w:sz w:val="36"/>
          <w:szCs w:val="36"/>
          <w:lang w:eastAsia="zh-CN"/>
        </w:rPr>
        <w:t>幼儿园</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2021年部门预算——单位概况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widowControl/>
        <w:numPr>
          <w:ilvl w:val="0"/>
          <w:numId w:val="0"/>
        </w:numPr>
        <w:spacing w:line="560" w:lineRule="exact"/>
        <w:ind w:firstLine="640" w:firstLineChars="200"/>
        <w:jc w:val="left"/>
        <w:rPr>
          <w:rFonts w:ascii="仿宋" w:hAnsi="仿宋" w:eastAsia="仿宋" w:cs="仿宋"/>
          <w:color w:val="000000"/>
          <w:sz w:val="32"/>
          <w:szCs w:val="32"/>
        </w:rPr>
      </w:pPr>
      <w:r>
        <w:rPr>
          <w:rFonts w:hint="eastAsia" w:ascii="仿宋_GB2312" w:hAnsi="黑体" w:eastAsia="仿宋_GB2312" w:cs="宋体"/>
          <w:bCs/>
          <w:kern w:val="0"/>
          <w:sz w:val="32"/>
          <w:szCs w:val="32"/>
        </w:rPr>
        <w:t xml:space="preserve"> </w:t>
      </w:r>
      <w:r>
        <w:rPr>
          <w:rFonts w:ascii="仿宋" w:hAnsi="仿宋" w:eastAsia="仿宋" w:cs="仿宋"/>
          <w:color w:val="000000"/>
          <w:sz w:val="32"/>
          <w:szCs w:val="32"/>
        </w:rPr>
        <w:t>1</w:t>
      </w:r>
      <w:r>
        <w:rPr>
          <w:rFonts w:hint="eastAsia" w:ascii="仿宋" w:hAnsi="仿宋" w:eastAsia="仿宋" w:cs="仿宋"/>
          <w:color w:val="000000"/>
          <w:sz w:val="32"/>
          <w:szCs w:val="32"/>
        </w:rPr>
        <w:t>、认真贯彻执行党和国家的有关法律法规、方针、政策，坚持民主管理，依法办园，执行</w:t>
      </w:r>
      <w:r>
        <w:rPr>
          <w:rFonts w:hint="eastAsia" w:ascii="仿宋" w:hAnsi="仿宋" w:eastAsia="仿宋" w:cs="仿宋"/>
          <w:color w:val="000000"/>
          <w:sz w:val="32"/>
          <w:szCs w:val="32"/>
          <w:lang w:val="en-US" w:eastAsia="zh-CN"/>
        </w:rPr>
        <w:t>集团园</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en-US" w:eastAsia="zh-CN"/>
        </w:rPr>
        <w:t>各项</w:t>
      </w:r>
      <w:bookmarkStart w:id="0" w:name="_GoBack"/>
      <w:bookmarkEnd w:id="0"/>
      <w:r>
        <w:rPr>
          <w:rFonts w:hint="eastAsia" w:ascii="仿宋" w:hAnsi="仿宋" w:eastAsia="仿宋" w:cs="仿宋"/>
          <w:color w:val="000000"/>
          <w:sz w:val="32"/>
          <w:szCs w:val="32"/>
        </w:rPr>
        <w:t>指示和决定。</w:t>
      </w:r>
    </w:p>
    <w:p>
      <w:pPr>
        <w:widowControl/>
        <w:spacing w:line="560" w:lineRule="exact"/>
        <w:ind w:firstLine="640" w:firstLineChars="200"/>
        <w:jc w:val="left"/>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、实行保育和教育相结合的原则，对幼儿实施体、智、德、美诸方面全面发展的教育，促进其身心和谐发展。为家长解除后顾之忧，热忱为家长服务。</w:t>
      </w:r>
    </w:p>
    <w:p>
      <w:pPr>
        <w:widowControl/>
        <w:spacing w:line="560" w:lineRule="exact"/>
        <w:ind w:firstLine="640" w:firstLineChars="200"/>
        <w:jc w:val="left"/>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60" w:lineRule="exact"/>
        <w:ind w:firstLine="640" w:firstLineChars="200"/>
        <w:jc w:val="left"/>
        <w:rPr>
          <w:rFonts w:ascii="仿宋" w:hAnsi="仿宋" w:eastAsia="仿宋" w:cs="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、严格执行幼儿园安全、卫生保健制度，保证幼儿身心健康和生命安全。</w:t>
      </w:r>
    </w:p>
    <w:p>
      <w:pPr>
        <w:widowControl/>
        <w:spacing w:line="560" w:lineRule="exact"/>
        <w:ind w:firstLine="640" w:firstLineChars="200"/>
        <w:jc w:val="left"/>
        <w:rPr>
          <w:rFonts w:hint="eastAsia" w:ascii="??_GB2312" w:hAnsi="宋体" w:eastAsia="仿宋" w:cs="宋体"/>
          <w:bCs/>
          <w:kern w:val="0"/>
          <w:sz w:val="32"/>
          <w:szCs w:val="32"/>
          <w:lang w:val="en-US" w:eastAsia="zh-CN"/>
        </w:rPr>
      </w:pPr>
      <w:r>
        <w:rPr>
          <w:rFonts w:ascii="仿宋" w:hAnsi="仿宋" w:eastAsia="仿宋" w:cs="仿宋"/>
          <w:color w:val="000000"/>
          <w:sz w:val="32"/>
          <w:szCs w:val="32"/>
        </w:rPr>
        <w:t>5</w:t>
      </w:r>
      <w:r>
        <w:rPr>
          <w:rFonts w:hint="eastAsia" w:ascii="仿宋" w:hAnsi="仿宋" w:eastAsia="仿宋" w:cs="仿宋"/>
          <w:color w:val="000000"/>
          <w:sz w:val="32"/>
          <w:szCs w:val="32"/>
        </w:rPr>
        <w:t>、贯彻幼儿教育法规、传播科学教育理念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按照集团园办园理念，统一幼儿园发展思路，按照集团园工作规划</w:t>
      </w:r>
      <w:r>
        <w:rPr>
          <w:rFonts w:hint="eastAsia" w:ascii="仿宋" w:hAnsi="仿宋" w:eastAsia="仿宋" w:cs="仿宋"/>
          <w:color w:val="000000"/>
          <w:sz w:val="32"/>
          <w:szCs w:val="32"/>
        </w:rPr>
        <w:t>展</w:t>
      </w:r>
      <w:r>
        <w:rPr>
          <w:rFonts w:hint="eastAsia" w:ascii="仿宋" w:hAnsi="仿宋" w:eastAsia="仿宋" w:cs="仿宋"/>
          <w:color w:val="000000"/>
          <w:sz w:val="32"/>
          <w:szCs w:val="32"/>
          <w:lang w:val="en-US" w:eastAsia="zh-CN"/>
        </w:rPr>
        <w:t xml:space="preserve">开园内各项建设性工作。 </w:t>
      </w:r>
    </w:p>
    <w:p>
      <w:pPr>
        <w:widowControl/>
        <w:spacing w:line="560" w:lineRule="exact"/>
        <w:jc w:val="left"/>
        <w:rPr>
          <w:rFonts w:ascii="仿宋" w:hAnsi="仿宋" w:eastAsia="仿宋" w:cs="宋体"/>
          <w:bCs/>
          <w:kern w:val="0"/>
          <w:sz w:val="32"/>
          <w:szCs w:val="32"/>
        </w:rPr>
      </w:pPr>
      <w:r>
        <w:rPr>
          <w:rFonts w:hint="eastAsia" w:ascii="仿宋" w:hAnsi="仿宋" w:eastAsia="仿宋" w:cs="宋体"/>
          <w:bCs/>
          <w:kern w:val="0"/>
          <w:sz w:val="32"/>
          <w:szCs w:val="32"/>
        </w:rPr>
        <w:t xml:space="preserve"> </w:t>
      </w:r>
    </w:p>
    <w:p>
      <w:pPr>
        <w:widowControl/>
        <w:spacing w:line="560" w:lineRule="exact"/>
        <w:jc w:val="left"/>
        <w:rPr>
          <w:rFonts w:ascii="仿宋_GB2312" w:hAnsi="宋体" w:eastAsia="仿宋_GB2312" w:cs="宋体"/>
          <w:bCs/>
          <w:kern w:val="0"/>
          <w:sz w:val="32"/>
          <w:szCs w:val="32"/>
        </w:rPr>
      </w:pPr>
    </w:p>
    <w:p>
      <w:pPr>
        <w:widowControl/>
        <w:spacing w:line="560" w:lineRule="exact"/>
        <w:jc w:val="left"/>
        <w:rPr>
          <w:rFonts w:ascii="仿宋_GB2312" w:hAnsi="宋体" w:eastAsia="仿宋_GB2312" w:cs="宋体"/>
          <w:bCs/>
          <w:kern w:val="0"/>
          <w:sz w:val="32"/>
          <w:szCs w:val="32"/>
        </w:rPr>
      </w:pPr>
    </w:p>
    <w:p>
      <w:pPr>
        <w:widowControl/>
        <w:spacing w:line="560" w:lineRule="exact"/>
        <w:jc w:val="left"/>
        <w:rPr>
          <w:rFonts w:ascii="仿宋_GB2312" w:hAnsi="宋体" w:eastAsia="仿宋_GB2312" w:cs="宋体"/>
          <w:bCs/>
          <w:kern w:val="0"/>
          <w:sz w:val="32"/>
          <w:szCs w:val="32"/>
        </w:rPr>
      </w:pPr>
    </w:p>
    <w:p>
      <w:pPr>
        <w:widowControl/>
        <w:spacing w:line="560" w:lineRule="exact"/>
        <w:jc w:val="left"/>
        <w:rPr>
          <w:rFonts w:ascii="仿宋_GB2312" w:hAnsi="宋体" w:eastAsia="仿宋_GB2312" w:cs="宋体"/>
          <w:bCs/>
          <w:kern w:val="0"/>
          <w:sz w:val="32"/>
          <w:szCs w:val="32"/>
        </w:rPr>
      </w:pPr>
    </w:p>
    <w:p>
      <w:pPr>
        <w:widowControl/>
        <w:spacing w:line="560" w:lineRule="exact"/>
        <w:jc w:val="left"/>
        <w:rPr>
          <w:rFonts w:ascii="仿宋_GB2312" w:hAnsi="宋体" w:eastAsia="仿宋_GB2312" w:cs="宋体"/>
          <w:bCs/>
          <w:kern w:val="0"/>
          <w:sz w:val="32"/>
          <w:szCs w:val="32"/>
        </w:rPr>
      </w:pPr>
    </w:p>
    <w:p>
      <w:pPr>
        <w:widowControl/>
        <w:spacing w:line="560" w:lineRule="exact"/>
        <w:ind w:firstLine="480"/>
        <w:jc w:val="left"/>
        <w:rPr>
          <w:rFonts w:hint="eastAsia" w:ascii="仿宋_GB2312" w:hAnsi="黑体" w:eastAsia="仿宋_GB2312" w:cs="宋体"/>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480"/>
        <w:jc w:val="left"/>
        <w:rPr>
          <w:rFonts w:hint="eastAsia" w:ascii="仿宋_GB2312" w:hAnsi="黑体" w:eastAsia="仿宋_GB2312" w:cs="宋体"/>
          <w:bCs/>
          <w:kern w:val="0"/>
          <w:sz w:val="32"/>
          <w:szCs w:val="32"/>
        </w:rPr>
      </w:pPr>
      <w:r>
        <w:rPr>
          <w:rFonts w:hint="eastAsia" w:ascii="仿宋_GB2312" w:hAnsi="黑体" w:eastAsia="仿宋_GB2312" w:cs="宋体"/>
          <w:bCs/>
          <w:kern w:val="0"/>
          <w:sz w:val="32"/>
          <w:szCs w:val="32"/>
        </w:rPr>
        <w:t>从预算单位构成看，银川市金凤区金凤区</w:t>
      </w:r>
      <w:r>
        <w:rPr>
          <w:rFonts w:hint="eastAsia" w:ascii="仿宋_GB2312" w:hAnsi="黑体" w:eastAsia="仿宋_GB2312" w:cs="宋体"/>
          <w:bCs/>
          <w:kern w:val="0"/>
          <w:sz w:val="32"/>
          <w:szCs w:val="32"/>
          <w:lang w:val="en-US" w:eastAsia="zh-CN"/>
        </w:rPr>
        <w:t>丰登镇第二</w:t>
      </w:r>
      <w:r>
        <w:rPr>
          <w:rFonts w:hint="eastAsia" w:ascii="仿宋_GB2312" w:hAnsi="黑体" w:eastAsia="仿宋_GB2312" w:cs="宋体"/>
          <w:bCs/>
          <w:kern w:val="0"/>
          <w:sz w:val="32"/>
          <w:szCs w:val="32"/>
        </w:rPr>
        <w:t>幼儿园部门预算包括：银川市金凤区</w:t>
      </w:r>
      <w:r>
        <w:rPr>
          <w:rFonts w:hint="eastAsia" w:ascii="仿宋_GB2312" w:hAnsi="黑体" w:eastAsia="仿宋_GB2312" w:cs="宋体"/>
          <w:bCs/>
          <w:kern w:val="0"/>
          <w:sz w:val="32"/>
          <w:szCs w:val="32"/>
          <w:lang w:val="en-US" w:eastAsia="zh-CN"/>
        </w:rPr>
        <w:t>丰登镇第二</w:t>
      </w:r>
      <w:r>
        <w:rPr>
          <w:rFonts w:hint="eastAsia" w:ascii="仿宋_GB2312" w:hAnsi="黑体" w:eastAsia="仿宋_GB2312" w:cs="宋体"/>
          <w:bCs/>
          <w:kern w:val="0"/>
          <w:sz w:val="32"/>
          <w:szCs w:val="32"/>
        </w:rPr>
        <w:t>幼儿园本级预算。</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
    <w:p/>
    <w:p/>
    <w:p/>
    <w:p/>
    <w:p/>
    <w:p/>
    <w:p/>
    <w:p/>
    <w:p/>
    <w:p>
      <w:pPr>
        <w:sectPr>
          <w:pgSz w:w="11906" w:h="16838"/>
          <w:pgMar w:top="1440" w:right="1800" w:bottom="1440" w:left="1800" w:header="851" w:footer="992" w:gutter="0"/>
          <w:cols w:space="720" w:num="1"/>
          <w:docGrid w:type="lines" w:linePitch="312" w:charSpace="0"/>
        </w:sectPr>
      </w:pPr>
    </w:p>
    <w:p>
      <w:pPr>
        <w:widowControl/>
        <w:jc w:val="center"/>
        <w:outlineLvl w:val="1"/>
        <w:rPr>
          <w:rFonts w:hint="eastAsia" w:ascii="仿宋_GB2312" w:hAnsi="宋体" w:eastAsia="仿宋_GB2312"/>
          <w:b/>
          <w:kern w:val="0"/>
          <w:sz w:val="36"/>
          <w:szCs w:val="36"/>
          <w:lang w:eastAsia="zh-CN"/>
        </w:rPr>
      </w:pPr>
      <w:r>
        <w:rPr>
          <w:rFonts w:hint="eastAsia" w:ascii="仿宋_GB2312" w:hAnsi="宋体" w:eastAsia="仿宋_GB2312"/>
          <w:b/>
          <w:kern w:val="0"/>
          <w:sz w:val="36"/>
          <w:szCs w:val="36"/>
          <w:lang w:eastAsia="zh-CN"/>
        </w:rPr>
        <w:t>银川市金凤区金凤区</w:t>
      </w:r>
      <w:r>
        <w:rPr>
          <w:rFonts w:hint="eastAsia" w:ascii="仿宋_GB2312" w:hAnsi="宋体" w:eastAsia="仿宋_GB2312"/>
          <w:b/>
          <w:kern w:val="0"/>
          <w:sz w:val="36"/>
          <w:szCs w:val="36"/>
          <w:lang w:val="en-US" w:eastAsia="zh-CN"/>
        </w:rPr>
        <w:t>丰登镇第二</w:t>
      </w:r>
      <w:r>
        <w:rPr>
          <w:rFonts w:hint="eastAsia" w:ascii="仿宋_GB2312" w:hAnsi="宋体" w:eastAsia="仿宋_GB2312"/>
          <w:b/>
          <w:kern w:val="0"/>
          <w:sz w:val="36"/>
          <w:szCs w:val="36"/>
          <w:lang w:eastAsia="zh-CN"/>
        </w:rPr>
        <w:t>幼儿园</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10.6199</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10.6199</w:t>
            </w:r>
          </w:p>
        </w:tc>
      </w:tr>
    </w:tbl>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highlight w:val="none"/>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2050201</w:t>
            </w:r>
          </w:p>
        </w:tc>
        <w:tc>
          <w:tcPr>
            <w:tcW w:w="19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　</w:t>
            </w:r>
            <w:r>
              <w:rPr>
                <w:rFonts w:hint="eastAsia" w:ascii="宋体" w:hAnsi="宋体" w:cs="宋体"/>
                <w:kern w:val="0"/>
                <w:sz w:val="20"/>
                <w:szCs w:val="20"/>
                <w:lang w:eastAsia="zh-CN"/>
              </w:rPr>
              <w:t>学前教育</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10.6199</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10.6199</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ind w:firstLine="200" w:firstLineChars="100"/>
              <w:jc w:val="left"/>
              <w:rPr>
                <w:rFonts w:hint="default" w:eastAsia="宋体"/>
                <w:kern w:val="0"/>
                <w:sz w:val="20"/>
                <w:szCs w:val="20"/>
                <w:lang w:val="en-US" w:eastAsia="zh-CN"/>
              </w:rPr>
            </w:pPr>
          </w:p>
        </w:tc>
        <w:tc>
          <w:tcPr>
            <w:tcW w:w="1454" w:type="dxa"/>
            <w:tcBorders>
              <w:top w:val="single" w:color="auto" w:sz="4" w:space="0"/>
              <w:bottom w:val="single" w:color="auto" w:sz="4" w:space="0"/>
              <w:right w:val="single" w:color="auto" w:sz="4" w:space="0"/>
            </w:tcBorders>
          </w:tcPr>
          <w:p>
            <w:pPr>
              <w:widowControl/>
              <w:jc w:val="left"/>
              <w:rPr>
                <w:rFonts w:hint="default" w:eastAsia="宋体"/>
                <w:kern w:val="0"/>
                <w:sz w:val="20"/>
                <w:szCs w:val="20"/>
                <w:lang w:val="en-US" w:eastAsia="zh-CN"/>
              </w:rPr>
            </w:pP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10.6199</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10.6199</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5.6399</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5.6399</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rPr>
          <w:trHeight w:val="35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r>
      <w:tr>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 “三公”经费支出预算表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27" w:firstLineChars="196"/>
        <w:outlineLvl w:val="1"/>
        <w:rPr>
          <w:rFonts w:ascii="黑体" w:hAnsi="宋体" w:eastAsia="黑体"/>
          <w:b/>
          <w:kern w:val="0"/>
          <w:sz w:val="32"/>
          <w:szCs w:val="32"/>
        </w:rPr>
      </w:pPr>
      <w:r>
        <w:rPr>
          <w:rFonts w:hint="eastAsia" w:ascii="黑体" w:hAnsi="宋体" w:eastAsia="黑体"/>
          <w:b/>
          <w:kern w:val="0"/>
          <w:sz w:val="32"/>
          <w:szCs w:val="32"/>
        </w:rPr>
        <w:t>五、政府性基金预算财政拨款支出预算表</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10.6199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10.6199</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10.6199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2050201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22"/>
                <w:szCs w:val="22"/>
                <w:lang w:val="en-US" w:eastAsia="zh-CN"/>
              </w:rPr>
              <w:t>10.6199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ind w:firstLine="220" w:firstLineChars="100"/>
              <w:jc w:val="left"/>
              <w:rPr>
                <w:rFonts w:ascii="宋体" w:hAnsi="宋体" w:cs="宋体"/>
                <w:color w:val="000000"/>
                <w:kern w:val="0"/>
                <w:sz w:val="18"/>
                <w:szCs w:val="18"/>
              </w:rPr>
            </w:pPr>
            <w:r>
              <w:rPr>
                <w:rFonts w:hint="eastAsia" w:ascii="宋体" w:hAnsi="宋体" w:cs="宋体"/>
                <w:color w:val="000000"/>
                <w:kern w:val="0"/>
                <w:sz w:val="22"/>
                <w:szCs w:val="22"/>
                <w:lang w:val="en-US" w:eastAsia="zh-CN"/>
              </w:rPr>
              <w:t>10.6199</w:t>
            </w: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center"/>
        <w:outlineLvl w:val="1"/>
        <w:rPr>
          <w:rFonts w:hint="eastAsia" w:ascii="仿宋_GB2312" w:hAnsi="宋体" w:eastAsia="仿宋_GB2312"/>
          <w:b/>
          <w:bCs/>
          <w:kern w:val="0"/>
          <w:sz w:val="36"/>
          <w:szCs w:val="36"/>
          <w:lang w:eastAsia="zh-CN"/>
        </w:rPr>
      </w:pPr>
      <w:r>
        <w:rPr>
          <w:rFonts w:hint="eastAsia" w:ascii="仿宋_GB2312" w:hAnsi="宋体" w:eastAsia="仿宋_GB2312"/>
          <w:b/>
          <w:bCs/>
          <w:kern w:val="0"/>
          <w:sz w:val="36"/>
          <w:szCs w:val="36"/>
          <w:lang w:eastAsia="zh-CN"/>
        </w:rPr>
        <w:t>银川市金凤区</w:t>
      </w:r>
      <w:r>
        <w:rPr>
          <w:rFonts w:hint="eastAsia" w:ascii="仿宋_GB2312" w:hAnsi="宋体" w:eastAsia="仿宋_GB2312"/>
          <w:b/>
          <w:bCs/>
          <w:kern w:val="0"/>
          <w:sz w:val="36"/>
          <w:szCs w:val="36"/>
          <w:lang w:val="en-US" w:eastAsia="zh-CN"/>
        </w:rPr>
        <w:t>丰登镇第二</w:t>
      </w:r>
      <w:r>
        <w:rPr>
          <w:rFonts w:hint="eastAsia" w:ascii="仿宋_GB2312" w:hAnsi="宋体" w:eastAsia="仿宋_GB2312"/>
          <w:b/>
          <w:bCs/>
          <w:kern w:val="0"/>
          <w:sz w:val="36"/>
          <w:szCs w:val="36"/>
          <w:lang w:eastAsia="zh-CN"/>
        </w:rPr>
        <w:t>幼儿园</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eastAsia="zh-CN"/>
        </w:rPr>
        <w:t>银川市金凤区</w:t>
      </w:r>
      <w:r>
        <w:rPr>
          <w:rFonts w:hint="eastAsia" w:ascii="黑体" w:eastAsia="黑体" w:cs="宋体"/>
          <w:b/>
          <w:bCs/>
          <w:kern w:val="0"/>
          <w:sz w:val="32"/>
          <w:szCs w:val="32"/>
          <w:lang w:val="en-US" w:eastAsia="zh-CN"/>
        </w:rPr>
        <w:t>丰登镇第二</w:t>
      </w:r>
      <w:r>
        <w:rPr>
          <w:rFonts w:hint="eastAsia" w:ascii="黑体" w:eastAsia="黑体" w:cs="宋体"/>
          <w:b/>
          <w:bCs/>
          <w:kern w:val="0"/>
          <w:sz w:val="32"/>
          <w:szCs w:val="32"/>
          <w:lang w:eastAsia="zh-CN"/>
        </w:rPr>
        <w:t>幼儿园</w:t>
      </w:r>
      <w:r>
        <w:rPr>
          <w:rFonts w:hint="eastAsia" w:ascii="黑体" w:eastAsia="黑体" w:cs="宋体"/>
          <w:b/>
          <w:bCs/>
          <w:kern w:val="0"/>
          <w:sz w:val="32"/>
          <w:szCs w:val="32"/>
        </w:rPr>
        <w:t>2021年财政拨款收支预算情况的总体说明</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 xml:space="preserve"> 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rPr>
        <w:t>幼儿园2021年财政拨款收入预算</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highlight w:val="none"/>
        </w:rPr>
        <w:t>上年结转结余</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万元</w:t>
      </w:r>
      <w:r>
        <w:rPr>
          <w:rFonts w:hint="eastAsia" w:ascii="仿宋_GB2312" w:hAnsi="宋体" w:eastAsia="仿宋_GB2312" w:cs="宋体"/>
          <w:kern w:val="0"/>
          <w:sz w:val="32"/>
          <w:szCs w:val="32"/>
        </w:rPr>
        <w:t>。支出预算</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w:t>
      </w:r>
      <w:r>
        <w:rPr>
          <w:rFonts w:hint="eastAsia" w:ascii="黑体" w:hAnsi="宋体" w:eastAsia="黑体" w:cs="宋体"/>
          <w:b/>
          <w:bCs/>
          <w:kern w:val="0"/>
          <w:sz w:val="32"/>
          <w:szCs w:val="32"/>
          <w:lang w:val="en-US" w:eastAsia="zh-CN"/>
        </w:rPr>
        <w:t>丰登镇第二</w:t>
      </w:r>
      <w:r>
        <w:rPr>
          <w:rFonts w:hint="eastAsia" w:ascii="黑体" w:hAnsi="宋体" w:eastAsia="黑体" w:cs="宋体"/>
          <w:b/>
          <w:bCs/>
          <w:kern w:val="0"/>
          <w:sz w:val="32"/>
          <w:szCs w:val="32"/>
        </w:rPr>
        <w:t>幼儿园2021年一般公共预算财政拨款支出情况说明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rPr>
        <w:t>幼儿园2021年一般公共预算财政拨款基本支出</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万元，人员经费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在编1名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待财政核定后予以追加。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万元，主要包括：办公费</w:t>
      </w:r>
      <w:r>
        <w:rPr>
          <w:rFonts w:hint="eastAsia" w:ascii="仿宋_GB2312" w:hAnsi="宋体" w:eastAsia="仿宋_GB2312" w:cs="宋体"/>
          <w:kern w:val="0"/>
          <w:sz w:val="32"/>
          <w:szCs w:val="32"/>
          <w:lang w:val="en-US" w:eastAsia="zh-CN"/>
        </w:rPr>
        <w:t>1.5万元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印刷费0.5万元、水费0.35万元、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0.8万元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5.6399万元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邮电费0.23万元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0.25万元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0.3万元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劳务</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手续费0.05万元</w:t>
      </w:r>
      <w:r>
        <w:rPr>
          <w:rFonts w:hint="eastAsia" w:ascii="仿宋_GB2312" w:hAnsi="宋体" w:eastAsia="仿宋_GB2312" w:cs="宋体"/>
          <w:kern w:val="0"/>
          <w:sz w:val="32"/>
          <w:szCs w:val="32"/>
        </w:rPr>
        <w:t>。</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2021年一般公共预算财政拨款项目支出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万元，上年结转结余资金安排支出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银川市金凤区</w:t>
      </w:r>
      <w:r>
        <w:rPr>
          <w:rFonts w:hint="eastAsia" w:ascii="黑体" w:hAnsi="宋体" w:eastAsia="黑体" w:cs="宋体"/>
          <w:b/>
          <w:bCs/>
          <w:kern w:val="0"/>
          <w:sz w:val="32"/>
          <w:szCs w:val="32"/>
          <w:lang w:val="en-US" w:eastAsia="zh-CN"/>
        </w:rPr>
        <w:t>丰登镇第二</w:t>
      </w:r>
      <w:r>
        <w:rPr>
          <w:rFonts w:hint="eastAsia" w:ascii="黑体" w:hAnsi="宋体" w:eastAsia="黑体" w:cs="宋体"/>
          <w:b/>
          <w:bCs/>
          <w:kern w:val="0"/>
          <w:sz w:val="32"/>
          <w:szCs w:val="32"/>
          <w:lang w:eastAsia="zh-CN"/>
        </w:rPr>
        <w:t>幼儿园</w:t>
      </w:r>
      <w:r>
        <w:rPr>
          <w:rFonts w:hint="eastAsia" w:ascii="黑体" w:hAnsi="宋体" w:eastAsia="黑体" w:cs="宋体"/>
          <w:b/>
          <w:bCs/>
          <w:kern w:val="0"/>
          <w:sz w:val="32"/>
          <w:szCs w:val="32"/>
        </w:rPr>
        <w:t>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2021年“三公”经费财政拨款预算数为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因上年度和本年度都无三公经费支出，所以没有增减变化情况</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银川市金凤区</w:t>
      </w:r>
      <w:r>
        <w:rPr>
          <w:rFonts w:hint="eastAsia" w:ascii="黑体" w:hAnsi="宋体" w:eastAsia="黑体" w:cs="宋体"/>
          <w:b/>
          <w:bCs/>
          <w:kern w:val="0"/>
          <w:sz w:val="32"/>
          <w:szCs w:val="32"/>
          <w:lang w:val="en-US" w:eastAsia="zh-CN"/>
        </w:rPr>
        <w:t>丰登镇第二</w:t>
      </w:r>
      <w:r>
        <w:rPr>
          <w:rFonts w:hint="eastAsia" w:ascii="黑体" w:hAnsi="宋体" w:eastAsia="黑体" w:cs="宋体"/>
          <w:b/>
          <w:bCs/>
          <w:kern w:val="0"/>
          <w:sz w:val="32"/>
          <w:szCs w:val="32"/>
          <w:lang w:eastAsia="zh-CN"/>
        </w:rPr>
        <w:t>幼儿园</w:t>
      </w:r>
      <w:r>
        <w:rPr>
          <w:rFonts w:hint="eastAsia" w:ascii="黑体" w:hAnsi="宋体" w:eastAsia="黑体" w:cs="宋体"/>
          <w:b/>
          <w:bCs/>
          <w:kern w:val="0"/>
          <w:sz w:val="32"/>
          <w:szCs w:val="32"/>
        </w:rPr>
        <w:t>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银川市金凤区</w:t>
      </w:r>
      <w:r>
        <w:rPr>
          <w:rFonts w:hint="eastAsia" w:ascii="黑体" w:hAnsi="宋体" w:eastAsia="黑体" w:cs="宋体"/>
          <w:b/>
          <w:bCs/>
          <w:kern w:val="0"/>
          <w:sz w:val="32"/>
          <w:szCs w:val="32"/>
          <w:lang w:val="en-US" w:eastAsia="zh-CN"/>
        </w:rPr>
        <w:t>丰登镇第二</w:t>
      </w:r>
      <w:r>
        <w:rPr>
          <w:rFonts w:hint="eastAsia" w:ascii="黑体" w:hAnsi="宋体" w:eastAsia="黑体" w:cs="宋体"/>
          <w:b/>
          <w:bCs/>
          <w:kern w:val="0"/>
          <w:sz w:val="32"/>
          <w:szCs w:val="32"/>
          <w:lang w:eastAsia="zh-CN"/>
        </w:rPr>
        <w:t>幼儿园</w:t>
      </w:r>
      <w:r>
        <w:rPr>
          <w:rFonts w:hint="eastAsia" w:ascii="黑体" w:hAnsi="宋体" w:eastAsia="黑体" w:cs="宋体"/>
          <w:b/>
          <w:bCs/>
          <w:kern w:val="0"/>
          <w:sz w:val="32"/>
          <w:szCs w:val="32"/>
        </w:rPr>
        <w:t>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2021年收入总预算</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万元，上年结转结余</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元，年末结转结余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%；上级补助预算收入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%；附属单位上缴预算收入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%；非同级财政拨款预算收入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%；投资预算收益</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%；其他预算收入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%；事业支出</w:t>
      </w:r>
      <w:r>
        <w:rPr>
          <w:rFonts w:hint="eastAsia" w:ascii="仿宋_GB2312" w:hAnsi="宋体" w:eastAsia="仿宋_GB2312" w:cs="宋体"/>
          <w:kern w:val="0"/>
          <w:sz w:val="32"/>
          <w:szCs w:val="32"/>
          <w:lang w:val="en-US" w:eastAsia="zh-CN"/>
        </w:rPr>
        <w:t>10.6199</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%；上缴上级支出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%；投资支出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%；其他支出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本级及所属等</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个行政单位和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个参公管理事业单位的机关运行经费财政拨款预算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占用使用国有资产总体情况为房屋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万元；土地    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本级部门房屋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平方米，价值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w:t>
      </w:r>
      <w:r>
        <w:rPr>
          <w:rFonts w:hint="eastAsia" w:ascii="仿宋_GB2312" w:hAnsi="宋体" w:eastAsia="仿宋_GB2312" w:cs="宋体"/>
          <w:kern w:val="0"/>
          <w:sz w:val="32"/>
          <w:szCs w:val="32"/>
          <w:lang w:eastAsia="zh-CN"/>
        </w:rPr>
        <w:t>银川市金凤区</w:t>
      </w:r>
      <w:r>
        <w:rPr>
          <w:rFonts w:hint="eastAsia" w:ascii="仿宋_GB2312" w:hAnsi="宋体" w:eastAsia="仿宋_GB2312" w:cs="宋体"/>
          <w:kern w:val="0"/>
          <w:sz w:val="32"/>
          <w:szCs w:val="32"/>
          <w:lang w:val="en-US" w:eastAsia="zh-CN"/>
        </w:rPr>
        <w:t>丰登镇第二</w:t>
      </w:r>
      <w:r>
        <w:rPr>
          <w:rFonts w:hint="eastAsia" w:ascii="仿宋_GB2312" w:hAnsi="宋体" w:eastAsia="仿宋_GB2312" w:cs="宋体"/>
          <w:kern w:val="0"/>
          <w:sz w:val="32"/>
          <w:szCs w:val="32"/>
          <w:lang w:eastAsia="zh-CN"/>
        </w:rPr>
        <w:t>幼儿园</w:t>
      </w:r>
      <w:r>
        <w:rPr>
          <w:rFonts w:hint="eastAsia" w:ascii="仿宋_GB2312" w:hAnsi="宋体" w:eastAsia="仿宋_GB2312" w:cs="宋体"/>
          <w:kern w:val="0"/>
          <w:sz w:val="32"/>
          <w:szCs w:val="32"/>
        </w:rPr>
        <w:t>重点项目绩效评价</w:t>
      </w:r>
      <w:r>
        <w:rPr>
          <w:rFonts w:hint="eastAsia" w:ascii="仿宋_GB2312" w:hAnsi="宋体" w:eastAsia="仿宋_GB2312" w:cs="宋体"/>
          <w:kern w:val="0"/>
          <w:sz w:val="32"/>
          <w:szCs w:val="32"/>
          <w:lang w:val="en-US" w:eastAsia="zh-CN"/>
        </w:rPr>
        <w:t>情况是：</w:t>
      </w:r>
      <w:r>
        <w:rPr>
          <w:rFonts w:hint="eastAsia" w:ascii="仿宋_GB2312" w:hAnsi="宋体" w:eastAsia="仿宋_GB2312" w:cs="宋体"/>
          <w:kern w:val="0"/>
          <w:sz w:val="32"/>
          <w:szCs w:val="32"/>
          <w:lang w:eastAsia="zh-CN"/>
        </w:rPr>
        <w:t>我园</w:t>
      </w:r>
      <w:r>
        <w:rPr>
          <w:rFonts w:hint="eastAsia" w:ascii="仿宋_GB2312" w:hAnsi="宋体" w:eastAsia="仿宋_GB2312" w:cs="宋体"/>
          <w:kern w:val="0"/>
          <w:sz w:val="32"/>
          <w:szCs w:val="32"/>
          <w:lang w:val="en-US" w:eastAsia="zh-CN"/>
        </w:rPr>
        <w:t>将</w:t>
      </w:r>
      <w:r>
        <w:rPr>
          <w:rFonts w:hint="eastAsia" w:ascii="仿宋_GB2312" w:hAnsi="宋体" w:eastAsia="仿宋_GB2312" w:cs="宋体"/>
          <w:kern w:val="0"/>
          <w:sz w:val="32"/>
          <w:szCs w:val="32"/>
          <w:lang w:eastAsia="zh-CN"/>
        </w:rPr>
        <w:t>坚持</w:t>
      </w:r>
      <w:r>
        <w:rPr>
          <w:rFonts w:hint="eastAsia" w:ascii="仿宋_GB2312" w:hAnsi="宋体" w:eastAsia="仿宋_GB2312" w:cs="宋体"/>
          <w:kern w:val="0"/>
          <w:sz w:val="32"/>
          <w:szCs w:val="32"/>
        </w:rPr>
        <w:t>召开教代会审议预算，幼儿园制定部门预算绩效考核暂行办法，启动并推进预算资金的使用</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监管，每年将幼儿园执行预算的情况向教代会报告，不断提升预算的刚性，强化“先有预算才开支，超过预算标准不开支”的理念，促进幼儿园提升整体管理水平。</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_GB2312" w:hAnsi="宋体" w:eastAsia="仿宋_GB2312" w:cs="宋体"/>
          <w:kern w:val="0"/>
          <w:sz w:val="32"/>
          <w:szCs w:val="32"/>
          <w:lang w:eastAsia="zh-CN"/>
        </w:rPr>
        <w:t>无</w:t>
      </w: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p>
    <w:p>
      <w:pPr>
        <w:widowControl/>
        <w:jc w:val="center"/>
        <w:outlineLvl w:val="1"/>
        <w:rPr>
          <w:rFonts w:hint="eastAsia" w:ascii="仿宋_GB2312" w:hAnsi="宋体" w:eastAsia="仿宋_GB2312"/>
          <w:b/>
          <w:bCs/>
          <w:kern w:val="0"/>
          <w:sz w:val="36"/>
          <w:szCs w:val="36"/>
          <w:lang w:eastAsia="zh-CN"/>
        </w:rPr>
      </w:pPr>
      <w:r>
        <w:rPr>
          <w:rFonts w:hint="eastAsia" w:ascii="仿宋_GB2312" w:hAnsi="宋体" w:eastAsia="仿宋_GB2312"/>
          <w:b/>
          <w:bCs/>
          <w:kern w:val="0"/>
          <w:sz w:val="36"/>
          <w:szCs w:val="36"/>
          <w:lang w:eastAsia="zh-CN"/>
        </w:rPr>
        <w:t>银川市金凤区</w:t>
      </w:r>
      <w:r>
        <w:rPr>
          <w:rFonts w:hint="eastAsia" w:ascii="仿宋_GB2312" w:hAnsi="宋体" w:eastAsia="仿宋_GB2312"/>
          <w:b/>
          <w:bCs/>
          <w:kern w:val="0"/>
          <w:sz w:val="36"/>
          <w:szCs w:val="36"/>
          <w:lang w:val="en-US" w:eastAsia="zh-CN"/>
        </w:rPr>
        <w:t>丰登镇第二</w:t>
      </w:r>
      <w:r>
        <w:rPr>
          <w:rFonts w:hint="eastAsia" w:ascii="仿宋_GB2312" w:hAnsi="宋体" w:eastAsia="仿宋_GB2312"/>
          <w:b/>
          <w:bCs/>
          <w:kern w:val="0"/>
          <w:sz w:val="36"/>
          <w:szCs w:val="36"/>
          <w:lang w:eastAsia="zh-CN"/>
        </w:rPr>
        <w:t>幼儿园</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w:t>
      </w:r>
      <w:r>
        <w:rPr>
          <w:rFonts w:hint="eastAsia" w:ascii="仿宋" w:hAnsi="仿宋" w:eastAsia="仿宋" w:cs="宋体"/>
          <w:bCs/>
          <w:kern w:val="0"/>
          <w:sz w:val="32"/>
          <w:szCs w:val="32"/>
          <w:lang w:val="en-US" w:eastAsia="zh-CN"/>
        </w:rPr>
        <w:t>劳务费、</w:t>
      </w:r>
      <w:r>
        <w:rPr>
          <w:rFonts w:hint="eastAsia" w:ascii="仿宋" w:hAnsi="仿宋" w:eastAsia="仿宋" w:cs="宋体"/>
          <w:bCs/>
          <w:kern w:val="0"/>
          <w:sz w:val="32"/>
          <w:szCs w:val="32"/>
        </w:rPr>
        <w:t>会议费、福利费、日常维修费、专用材料及一般设备购置费、办公用房水电费、办公用房取暖费、办公用房物业管理费、公务用车运行维护费以及其他费用。</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A5F33"/>
    <w:rsid w:val="001A68AF"/>
    <w:rsid w:val="001B3655"/>
    <w:rsid w:val="001C1D11"/>
    <w:rsid w:val="001E2B95"/>
    <w:rsid w:val="0022537E"/>
    <w:rsid w:val="0023640E"/>
    <w:rsid w:val="00295D0F"/>
    <w:rsid w:val="002C4BD6"/>
    <w:rsid w:val="002D19BE"/>
    <w:rsid w:val="002E78B6"/>
    <w:rsid w:val="002F53FA"/>
    <w:rsid w:val="00322E88"/>
    <w:rsid w:val="003379A6"/>
    <w:rsid w:val="00341CFB"/>
    <w:rsid w:val="0035076A"/>
    <w:rsid w:val="00375123"/>
    <w:rsid w:val="003A44E5"/>
    <w:rsid w:val="003B5F79"/>
    <w:rsid w:val="003F169E"/>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97C6A"/>
    <w:rsid w:val="007A2546"/>
    <w:rsid w:val="007E5001"/>
    <w:rsid w:val="00806D8F"/>
    <w:rsid w:val="00821C98"/>
    <w:rsid w:val="008951C4"/>
    <w:rsid w:val="008C415B"/>
    <w:rsid w:val="00926C87"/>
    <w:rsid w:val="00955E13"/>
    <w:rsid w:val="009C5522"/>
    <w:rsid w:val="009F1323"/>
    <w:rsid w:val="00A04D0E"/>
    <w:rsid w:val="00A16743"/>
    <w:rsid w:val="00A24808"/>
    <w:rsid w:val="00A27798"/>
    <w:rsid w:val="00A63BB9"/>
    <w:rsid w:val="00A72DC8"/>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E7FCB"/>
    <w:rsid w:val="00CF4C56"/>
    <w:rsid w:val="00D61F97"/>
    <w:rsid w:val="00D62C7C"/>
    <w:rsid w:val="00D66148"/>
    <w:rsid w:val="00D77DE1"/>
    <w:rsid w:val="00D82D77"/>
    <w:rsid w:val="00D953BC"/>
    <w:rsid w:val="00DA2209"/>
    <w:rsid w:val="00DA2C8F"/>
    <w:rsid w:val="00DB1945"/>
    <w:rsid w:val="00DD5905"/>
    <w:rsid w:val="00DE70AB"/>
    <w:rsid w:val="00E00861"/>
    <w:rsid w:val="00E0407D"/>
    <w:rsid w:val="00E06E2A"/>
    <w:rsid w:val="00E14322"/>
    <w:rsid w:val="00E21502"/>
    <w:rsid w:val="00E82D24"/>
    <w:rsid w:val="00EB04E5"/>
    <w:rsid w:val="00EB3277"/>
    <w:rsid w:val="00ED10DD"/>
    <w:rsid w:val="00F832C0"/>
    <w:rsid w:val="00FB2A8B"/>
    <w:rsid w:val="09B14AA1"/>
    <w:rsid w:val="0D565AA7"/>
    <w:rsid w:val="11B845E3"/>
    <w:rsid w:val="14BF6571"/>
    <w:rsid w:val="3FA761C6"/>
    <w:rsid w:val="4A583C9F"/>
    <w:rsid w:val="6A826D85"/>
    <w:rsid w:val="70F0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style>
  <w:style w:type="character" w:customStyle="1" w:styleId="10">
    <w:name w:val="页眉 Char"/>
    <w:basedOn w:val="7"/>
    <w:link w:val="4"/>
    <w:qFormat/>
    <w:uiPriority w:val="0"/>
    <w:rPr>
      <w:sz w:val="18"/>
      <w:szCs w:val="18"/>
    </w:rPr>
  </w:style>
  <w:style w:type="character" w:customStyle="1" w:styleId="11">
    <w:name w:val="页脚 Char"/>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1591</Words>
  <Characters>9072</Characters>
  <Lines>75</Lines>
  <Paragraphs>21</Paragraphs>
  <TotalTime>3</TotalTime>
  <ScaleCrop>false</ScaleCrop>
  <LinksUpToDate>false</LinksUpToDate>
  <CharactersWithSpaces>10642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威武</cp:lastModifiedBy>
  <cp:lastPrinted>2021-01-26T07:03:00Z</cp:lastPrinted>
  <dcterms:modified xsi:type="dcterms:W3CDTF">2021-02-08T03:21:07Z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