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rPr>
          <w:rFonts w:hint="eastAsia" w:ascii="FangSong_GB2312" w:hAnsi="FangSong_GB2312" w:eastAsia="FangSong_GB2312" w:cs="FangSong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FangSong_GB2312" w:hAnsi="FangSong_GB2312" w:eastAsia="FangSong_GB2312" w:cs="FangSong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FangSong_GB2312" w:hAnsi="FangSong_GB2312" w:eastAsia="FangSong_GB2312" w:cs="FangSong_GB2312"/>
          <w:color w:val="auto"/>
          <w:kern w:val="2"/>
          <w:sz w:val="32"/>
          <w:szCs w:val="32"/>
          <w:lang w:val="en-US" w:eastAsia="zh-CN" w:bidi="ar-SA"/>
        </w:rPr>
        <w:t>：</w:t>
      </w:r>
      <w:bookmarkStart w:id="10" w:name="_GoBack"/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金凤区良田镇泾龙村农耕文化研学基地农业设施配套项目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实施方案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0"/>
        <w:rPr>
          <w:rFonts w:hint="eastAsia"/>
          <w:b w:val="0"/>
          <w:bCs w:val="0"/>
        </w:rPr>
      </w:pPr>
      <w:bookmarkStart w:id="0" w:name="_Toc18518"/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宋体"/>
          <w:b w:val="0"/>
          <w:bCs w:val="0"/>
          <w:kern w:val="44"/>
          <w:sz w:val="32"/>
          <w:szCs w:val="32"/>
          <w:lang w:val="en-US" w:eastAsia="zh-CN" w:bidi="ar-SA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金凤区良田镇泾龙村农耕文化研学基地农业设施配套项目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宋体"/>
          <w:b w:val="0"/>
          <w:bCs w:val="0"/>
          <w:kern w:val="44"/>
          <w:sz w:val="32"/>
          <w:szCs w:val="32"/>
          <w:lang w:val="en-US" w:eastAsia="zh-CN" w:bidi="ar-SA"/>
        </w:rPr>
        <w:t>二、项目类别：</w:t>
      </w:r>
      <w:r>
        <w:rPr>
          <w:rFonts w:hint="default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产业基础设施配套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宋体"/>
          <w:b w:val="0"/>
          <w:bCs w:val="0"/>
          <w:kern w:val="44"/>
          <w:sz w:val="32"/>
          <w:szCs w:val="32"/>
          <w:lang w:val="en-US" w:eastAsia="zh-CN" w:bidi="ar-SA"/>
        </w:rPr>
        <w:t>三、项目实施单位：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宁夏百合冈安装工程有限公司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宋体"/>
          <w:b w:val="0"/>
          <w:bCs w:val="0"/>
          <w:kern w:val="44"/>
          <w:sz w:val="32"/>
          <w:szCs w:val="32"/>
          <w:lang w:val="en-US" w:eastAsia="zh-CN" w:bidi="ar-SA"/>
        </w:rPr>
        <w:t>四、项目主管单位：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金凤区乡村振兴局、金凤区良田镇人民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政府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宋体"/>
          <w:b w:val="0"/>
          <w:bCs w:val="0"/>
          <w:kern w:val="44"/>
          <w:sz w:val="32"/>
          <w:szCs w:val="32"/>
          <w:lang w:val="en-US" w:eastAsia="zh-CN" w:bidi="ar-SA"/>
        </w:rPr>
        <w:t>五、项目建设规模及主要内容：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新建拱棚5座，建筑面积为9000㎡，占地18亩。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/>
          <w:b w:val="0"/>
          <w:bCs w:val="0"/>
          <w:sz w:val="32"/>
          <w:szCs w:val="32"/>
          <w:lang w:eastAsia="zh-CN"/>
        </w:rPr>
      </w:pPr>
      <w:bookmarkStart w:id="1" w:name="_Toc17076"/>
      <w:bookmarkStart w:id="2" w:name="_Toc485290798"/>
      <w:bookmarkStart w:id="3" w:name="_Toc478770968"/>
      <w:r>
        <w:rPr>
          <w:rFonts w:hint="eastAsia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项目资金概算及资金筹措</w:t>
      </w:r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</w:pPr>
      <w:bookmarkStart w:id="4" w:name="_Toc5250"/>
      <w:bookmarkStart w:id="5" w:name="_Toc485290800"/>
      <w:bookmarkStart w:id="6" w:name="_Toc478770969"/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本着乡村振兴、村企联合传承文化的原则，</w:t>
      </w:r>
      <w:r>
        <w:rPr>
          <w:rFonts w:hint="default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申请财政衔接资金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260万元，宁夏百合冈安装工程有限公司投资40万元，共计基地建设资金300万元。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七、项目建设时间安排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  <w:t>月底前，制定项目申报书及申报项目；落实项目建设地点和实施主体等前期工作。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  <w:t>月，制定项目建设实施方案，落实设施建设用地并办理用地手续；完成工程设计、资金筹措、工程招投标等项目开工准备工作。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  <w:t>月-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  <w:t>月，按照“总体推进、重点突破、全面实施”的要求，积极采取有效措施，抓好项目建设，确保项目按时、按质、按量完成工程建设任务，达成预期目标。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  <w:t>月。在项目单位自验的基础上，由金凤区乡村振兴局组织相关部门专家进行检查验收。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八、项目运营机制</w:t>
      </w:r>
    </w:p>
    <w:bookmarkEnd w:id="4"/>
    <w:bookmarkEnd w:id="5"/>
    <w:bookmarkEnd w:id="6"/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</w:pPr>
      <w:bookmarkStart w:id="7" w:name="_Toc485290805"/>
      <w:bookmarkStart w:id="8" w:name="_Toc478770970"/>
      <w:bookmarkStart w:id="9" w:name="_Toc7986"/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  <w:t>金凤区劳动教育实践基地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由金凤区良田镇泾龙村与宁夏百合冈安装工程有限公司共同经营，互惠互利，共存共荣。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九</w:t>
      </w:r>
      <w:r>
        <w:rPr>
          <w:rFonts w:hint="eastAsia"/>
          <w:b w:val="0"/>
          <w:bCs w:val="0"/>
          <w:sz w:val="32"/>
          <w:szCs w:val="32"/>
        </w:rPr>
        <w:t>、项目</w:t>
      </w:r>
      <w:bookmarkEnd w:id="7"/>
      <w:bookmarkEnd w:id="8"/>
      <w:r>
        <w:rPr>
          <w:rFonts w:hint="eastAsia"/>
          <w:b w:val="0"/>
          <w:bCs w:val="0"/>
          <w:sz w:val="32"/>
          <w:szCs w:val="32"/>
        </w:rPr>
        <w:t>效</w:t>
      </w:r>
      <w:r>
        <w:rPr>
          <w:rFonts w:hint="eastAsia"/>
          <w:b w:val="0"/>
          <w:bCs w:val="0"/>
          <w:sz w:val="32"/>
          <w:szCs w:val="32"/>
          <w:lang w:eastAsia="zh-CN"/>
        </w:rPr>
        <w:t>绩效</w:t>
      </w:r>
      <w:bookmarkEnd w:id="9"/>
      <w:r>
        <w:rPr>
          <w:rFonts w:hint="eastAsia"/>
          <w:b w:val="0"/>
          <w:bCs w:val="0"/>
          <w:sz w:val="32"/>
          <w:szCs w:val="32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  <w:t>为了贯彻国家乡村振兴建设和国家教育部有关文件精神，加强劳动技术教育，开展劳动实践活动的要求，以及近年来金凤区泾龙小学建设完备农耕展示馆，在金凤区乃至全社会产生的积极影响和良好效应，充分说明了劳动技术教育的育人价值与实践功能触及可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zh-TW" w:eastAsia="zh-CN" w:bidi="ar-SA"/>
        </w:rPr>
        <w:t>劳动教育实践基地的建成，将迎来全社会热爱劳动，珍惜生活，爱护环境，保护动植物等良好风尚的行为高潮，更好地提高人民群众的综合素质。将成为观光金凤区乡村建设不可或缺的打卡之地。基地建成后将带动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-SA"/>
        </w:rPr>
        <w:t>银川三区两县一市约13万中小学生开放实践场所（今后可延展到自治区各市县中小学生）参与研学活动，村集体经济收入预计可达90万元。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420" w:firstLineChars="200"/>
        <w:jc w:val="left"/>
        <w:textAlignment w:val="baseline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17" w:right="1531" w:bottom="1417" w:left="1531" w:header="851" w:footer="992" w:gutter="0"/>
      <w:pgNumType w:start="1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001010101"/>
    <w:charset w:val="86"/>
    <w:family w:val="swiss"/>
    <w:pitch w:val="default"/>
    <w:sig w:usb0="00000000" w:usb1="00000000" w:usb2="00000000" w:usb3="00000000" w:csb0="00040000" w:csb1="00000000"/>
  </w:font>
  <w:font w:name="华文仿宋">
    <w:altName w:val="仿宋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文行楷">
    <w:altName w:val="微软雅黑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FangSong_GB2312">
    <w:altName w:val="仿宋_GB2312"/>
    <w:panose1 w:val="020106090300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001010101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5ARVa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23A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2"/>
    <w:qFormat/>
    <w:uiPriority w:val="0"/>
    <w:pPr>
      <w:keepNext/>
      <w:keepLines/>
      <w:widowControl/>
      <w:ind w:left="840" w:leftChars="400"/>
      <w:jc w:val="left"/>
      <w:outlineLvl w:val="1"/>
    </w:pPr>
    <w:rPr>
      <w:b/>
      <w:kern w:val="0"/>
      <w:sz w:val="30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auto"/>
      <w:ind w:firstLine="200" w:firstLineChars="200"/>
    </w:pPr>
    <w:rPr>
      <w:rFonts w:ascii="Times New Roman" w:hAnsi="Times New Roman" w:eastAsia="仿宋"/>
      <w:sz w:val="32"/>
    </w:rPr>
  </w:style>
  <w:style w:type="paragraph" w:styleId="5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No Spacing_630ace59-589e-4276-9f4a-e109d30020e7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标题 2 Char"/>
    <w:link w:val="4"/>
    <w:qFormat/>
    <w:uiPriority w:val="0"/>
    <w:rPr>
      <w:b/>
      <w:kern w:val="0"/>
      <w:sz w:val="30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802</Words>
  <Characters>836</Characters>
  <Lines>0</Lines>
  <Paragraphs>26</Paragraphs>
  <TotalTime>0</TotalTime>
  <ScaleCrop>false</ScaleCrop>
  <LinksUpToDate>false</LinksUpToDate>
  <CharactersWithSpaces>838</CharactersWithSpaces>
  <Application>WPS Office_10.1.0.5989_F1E327BC-269C-435d-A152-05C5408002CA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2022-03-24T12:54:00Z</dcterms:created>
  <dc:creator>Administrator</dc:creator>
  <cp:lastModifiedBy>良田镇政府收文员</cp:lastModifiedBy>
  <dcterms:modified xsi:type="dcterms:W3CDTF">2022-05-13T03:36:54Z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2052-10.1.0.5989</vt:lpwstr>
  </property>
  <property fmtid="{D5CDD505-2E9C-101B-9397-08002B2CF9AE}" pid="3" name="ICV">
    <vt:lpwstr>689BC520092F402190B5E532B0F88D5A</vt:lpwstr>
  </property>
</Properties>
</file>