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C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附件9：</w:t>
      </w:r>
    </w:p>
    <w:p w14:paraId="6D7E31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 w14:paraId="5A2907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已脱贫人口及“三类人员”监测对象牛羊养殖饲草料奖励项目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实施方案</w:t>
      </w:r>
    </w:p>
    <w:p w14:paraId="08FBF0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</w:p>
    <w:p w14:paraId="46A51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已脱贫人口及“三类人员”监测对象牛羊养殖饲草料奖励项目</w:t>
      </w:r>
    </w:p>
    <w:p w14:paraId="39F26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二、项目类别：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到户类补助资金项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目</w:t>
      </w:r>
    </w:p>
    <w:p w14:paraId="387C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三、项目实施单位：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  <w:t>良田镇所辖八村一居</w:t>
      </w:r>
    </w:p>
    <w:p w14:paraId="77E3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四、项目主管单位：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金凤区良田镇人民政府</w:t>
      </w:r>
    </w:p>
    <w:p w14:paraId="385D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五、项目建设规模及主要内容：</w:t>
      </w:r>
    </w:p>
    <w:p w14:paraId="6513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对脱贫户、“三类人员”监测对象户在辖区内饲养存栏的牛、羊给予饲草料奖补。奖补范围为当年该户春季集中防疫（包括春季补针）登记实际养殖的牛、羊，以验收时间逐户核实在养的实际养殖数量为准：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①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饲养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1-9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头牛的按每头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650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元（按头核算）给予一次性饲草料奖补，饲养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头牛及以上的一次性总共给予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6000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元饲草料奖补；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②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饲养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1-9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只羊的按每只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220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元（按只核算）给予一次性饲草料奖补，饲养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只羊及以上的一次性总共给予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2000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元饲草料奖补，牛羊同时养殖的可叠加落实奖补政策。</w:t>
      </w:r>
    </w:p>
    <w:p w14:paraId="1E18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六、项目资金概算及资金筹措</w:t>
      </w:r>
    </w:p>
    <w:p w14:paraId="08EFC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项目资金预算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68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万元。资金来源为</w:t>
      </w: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衔接推进乡村振兴补助资金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。</w:t>
      </w:r>
    </w:p>
    <w:p w14:paraId="4675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七、项目建设时间安排</w:t>
      </w:r>
    </w:p>
    <w:p w14:paraId="690C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本项目根据牛羊饲草料补贴文件统计各村牛羊饲草料补贴花名册。于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2024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月结束。</w:t>
      </w:r>
    </w:p>
    <w:p w14:paraId="24715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八、项目运营机制</w:t>
      </w:r>
    </w:p>
    <w:p w14:paraId="5537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项目争取政府财政支持，由政府全额承担已脱贫人口及监测对象牛羊饲草料补贴费用，已脱贫人口及监测对象受益。</w:t>
      </w:r>
    </w:p>
    <w:p w14:paraId="6860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九、项目绩效分析</w:t>
      </w:r>
    </w:p>
    <w:p w14:paraId="46F1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聚焦“两不愁、三保障”，坚持“输血”与“造血”想结合，坚持依靠外部帮扶与激发内生动力相结合，建立正向激励机制，持续激发群众内生动力，引导群众勤劳致富、光荣致富，确保贫困群众精准脱贫、稳定增收。进一步减少脱贫户及监测对象发展设施农业的后顾之忧，教育引导贫困群众通过自力更生和辛勤劳动脱贫致富。</w:t>
      </w:r>
    </w:p>
    <w:p w14:paraId="431ED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20" w:firstLineChars="20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D49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144F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144F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5914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ljM2MwZjU1ZmE0NGMwODliZThkMGU1OTZmNWEifQ=="/>
  </w:docVars>
  <w:rsids>
    <w:rsidRoot w:val="3A6C72B2"/>
    <w:rsid w:val="09CA2D09"/>
    <w:rsid w:val="0FB64C56"/>
    <w:rsid w:val="1A5E5731"/>
    <w:rsid w:val="224615C9"/>
    <w:rsid w:val="392A3A18"/>
    <w:rsid w:val="3A6C72B2"/>
    <w:rsid w:val="6947789C"/>
    <w:rsid w:val="6E262BC5"/>
    <w:rsid w:val="7CC24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670</Characters>
  <Lines>0</Lines>
  <Paragraphs>0</Paragraphs>
  <TotalTime>0</TotalTime>
  <ScaleCrop>false</ScaleCrop>
  <LinksUpToDate>false</LinksUpToDate>
  <CharactersWithSpaces>670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2024-07-09T01:33:00Z</dcterms:created>
  <dc:creator>ZUATTA</dc:creator>
  <cp:lastModifiedBy>ZUATTA</cp:lastModifiedBy>
  <dcterms:modified xsi:type="dcterms:W3CDTF">2024-07-16T08:20:15Z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54935F5316B3415A9A84CAA02EB8D389_13</vt:lpwstr>
  </property>
</Properties>
</file>