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560" w:lineRule="exact"/>
        <w:outlineLvl w:val="1"/>
        <w:rPr>
          <w:rFonts w:hAnsi="仿宋_GB2312" w:eastAsia="仿宋_GB2312"/>
          <w:sz w:val="32"/>
          <w:szCs w:val="32"/>
        </w:rPr>
      </w:pPr>
      <w:r>
        <w:rPr>
          <w:rFonts w:hAnsi="仿宋_GB2312" w:eastAsia="仿宋_GB2312"/>
          <w:sz w:val="32"/>
          <w:szCs w:val="32"/>
        </w:rPr>
        <w:t>附件</w:t>
      </w:r>
      <w:r>
        <w:rPr>
          <w:rFonts w:eastAsia="仿宋_GB2312"/>
          <w:sz w:val="32"/>
          <w:szCs w:val="32"/>
        </w:rPr>
        <w:t>2</w:t>
      </w:r>
      <w:r>
        <w:rPr>
          <w:rFonts w:hAnsi="仿宋_GB2312" w:eastAsia="仿宋_GB2312"/>
          <w:sz w:val="32"/>
          <w:szCs w:val="32"/>
        </w:rPr>
        <w:t>：</w:t>
      </w:r>
    </w:p>
    <w:p>
      <w:pPr>
        <w:spacing w:before="100" w:beforeAutospacing="1" w:after="100" w:afterAutospacing="1" w:line="560" w:lineRule="exact"/>
        <w:outlineLvl w:val="1"/>
        <w:rPr>
          <w:rFonts w:hAnsi="仿宋_GB2312" w:eastAsia="仿宋_GB2312"/>
          <w:sz w:val="32"/>
          <w:szCs w:val="32"/>
        </w:rPr>
      </w:pPr>
    </w:p>
    <w:p>
      <w:pPr>
        <w:spacing w:before="100" w:beforeAutospacing="1" w:after="100" w:afterAutospacing="1" w:line="560" w:lineRule="exact"/>
        <w:outlineLvl w:val="1"/>
        <w:rPr>
          <w:rFonts w:hAnsi="仿宋_GB2312" w:eastAsia="仿宋_GB2312"/>
          <w:sz w:val="32"/>
          <w:szCs w:val="32"/>
        </w:rPr>
      </w:pPr>
    </w:p>
    <w:p>
      <w:pPr>
        <w:spacing w:before="100" w:beforeAutospacing="1" w:after="100" w:afterAutospacing="1" w:line="560" w:lineRule="exact"/>
        <w:outlineLvl w:val="1"/>
        <w:rPr>
          <w:rFonts w:eastAsia="仿宋_GB2312"/>
          <w:kern w:val="0"/>
          <w:sz w:val="52"/>
          <w:szCs w:val="52"/>
        </w:rPr>
      </w:pPr>
    </w:p>
    <w:p>
      <w:pPr>
        <w:spacing w:before="100" w:beforeAutospacing="1" w:after="100" w:afterAutospacing="1" w:line="560" w:lineRule="exact"/>
        <w:jc w:val="center"/>
        <w:outlineLvl w:val="1"/>
        <w:rPr>
          <w:rFonts w:ascii="方正小标宋简体" w:eastAsia="方正小标宋简体"/>
          <w:bCs/>
          <w:kern w:val="0"/>
          <w:sz w:val="52"/>
          <w:szCs w:val="52"/>
        </w:rPr>
      </w:pPr>
      <w:r>
        <w:rPr>
          <w:rFonts w:hint="eastAsia" w:ascii="方正小标宋简体" w:eastAsia="方正小标宋简体"/>
          <w:bCs/>
          <w:kern w:val="0"/>
          <w:sz w:val="52"/>
          <w:szCs w:val="52"/>
        </w:rPr>
        <w:t>2022年度</w:t>
      </w:r>
    </w:p>
    <w:p>
      <w:pPr>
        <w:spacing w:before="100" w:beforeAutospacing="1" w:after="100" w:afterAutospacing="1" w:line="560" w:lineRule="exact"/>
        <w:jc w:val="center"/>
        <w:outlineLvl w:val="1"/>
        <w:rPr>
          <w:rFonts w:ascii="方正小标宋简体" w:eastAsia="方正小标宋简体"/>
          <w:bCs/>
          <w:kern w:val="0"/>
          <w:sz w:val="52"/>
          <w:szCs w:val="52"/>
        </w:rPr>
      </w:pPr>
      <w:r>
        <w:rPr>
          <w:rFonts w:hint="eastAsia" w:ascii="方正小标宋简体" w:eastAsia="方正小标宋简体"/>
          <w:bCs/>
          <w:kern w:val="0"/>
          <w:sz w:val="52"/>
          <w:szCs w:val="52"/>
        </w:rPr>
        <w:t>银川市金凤区良田镇人民政府</w:t>
      </w:r>
    </w:p>
    <w:p>
      <w:pPr>
        <w:spacing w:before="100" w:beforeAutospacing="1" w:after="100" w:afterAutospacing="1" w:line="560" w:lineRule="exact"/>
        <w:jc w:val="center"/>
        <w:outlineLvl w:val="1"/>
        <w:rPr>
          <w:rFonts w:ascii="方正小标宋简体" w:eastAsia="方正小标宋简体"/>
          <w:bCs/>
          <w:kern w:val="0"/>
          <w:sz w:val="52"/>
          <w:szCs w:val="52"/>
        </w:rPr>
      </w:pPr>
      <w:r>
        <w:rPr>
          <w:rFonts w:hint="eastAsia" w:ascii="方正小标宋简体" w:eastAsia="方正小标宋简体"/>
          <w:bCs/>
          <w:kern w:val="0"/>
          <w:sz w:val="52"/>
          <w:szCs w:val="52"/>
        </w:rPr>
        <w:t>部门决算</w:t>
      </w:r>
    </w:p>
    <w:p>
      <w:pPr>
        <w:widowControl/>
        <w:jc w:val="left"/>
        <w:rPr>
          <w:rFonts w:eastAsia="仿宋_GB2312"/>
          <w:bCs/>
          <w:kern w:val="0"/>
          <w:sz w:val="52"/>
          <w:szCs w:val="52"/>
        </w:rPr>
      </w:pPr>
      <w:r>
        <w:rPr>
          <w:rFonts w:eastAsia="仿宋_GB2312"/>
          <w:bCs/>
          <w:kern w:val="0"/>
          <w:sz w:val="52"/>
          <w:szCs w:val="52"/>
        </w:rPr>
        <w:br w:type="page"/>
      </w:r>
    </w:p>
    <w:p>
      <w:pPr>
        <w:spacing w:line="560" w:lineRule="exact"/>
        <w:jc w:val="center"/>
        <w:outlineLvl w:val="1"/>
        <w:rPr>
          <w:rFonts w:eastAsia="仿宋_GB2312"/>
          <w:b/>
          <w:kern w:val="0"/>
          <w:sz w:val="44"/>
          <w:szCs w:val="44"/>
        </w:rPr>
      </w:pPr>
      <w:r>
        <w:rPr>
          <w:rFonts w:eastAsia="仿宋_GB2312"/>
          <w:b/>
          <w:kern w:val="0"/>
          <w:sz w:val="44"/>
          <w:szCs w:val="44"/>
        </w:rPr>
        <w:t>目  录</w:t>
      </w:r>
    </w:p>
    <w:p>
      <w:pPr>
        <w:spacing w:line="560" w:lineRule="exact"/>
        <w:jc w:val="center"/>
        <w:outlineLvl w:val="1"/>
        <w:rPr>
          <w:rFonts w:eastAsia="仿宋_GB2312"/>
          <w:b/>
          <w:kern w:val="0"/>
          <w:sz w:val="44"/>
          <w:szCs w:val="44"/>
        </w:rPr>
      </w:pPr>
    </w:p>
    <w:p>
      <w:pPr>
        <w:spacing w:line="560" w:lineRule="exact"/>
        <w:jc w:val="center"/>
        <w:outlineLvl w:val="1"/>
        <w:rPr>
          <w:rFonts w:ascii="方正小标宋简体" w:eastAsia="方正小标宋简体"/>
          <w:kern w:val="0"/>
          <w:sz w:val="32"/>
          <w:szCs w:val="32"/>
        </w:rPr>
      </w:pPr>
      <w:r>
        <w:rPr>
          <w:rFonts w:hint="eastAsia" w:ascii="方正小标宋简体" w:eastAsia="方正小标宋简体"/>
          <w:kern w:val="0"/>
          <w:sz w:val="32"/>
          <w:szCs w:val="32"/>
        </w:rPr>
        <w:t>第一部分   单位概况</w:t>
      </w:r>
    </w:p>
    <w:p>
      <w:pPr>
        <w:spacing w:line="560" w:lineRule="exact"/>
        <w:outlineLvl w:val="1"/>
        <w:rPr>
          <w:rFonts w:ascii="黑体" w:hAnsi="黑体" w:eastAsia="黑体"/>
          <w:b/>
          <w:kern w:val="0"/>
          <w:sz w:val="32"/>
          <w:szCs w:val="32"/>
        </w:rPr>
      </w:pPr>
      <w:r>
        <w:rPr>
          <w:rFonts w:ascii="黑体" w:hAnsi="黑体" w:eastAsia="黑体"/>
          <w:kern w:val="0"/>
          <w:sz w:val="32"/>
          <w:szCs w:val="32"/>
        </w:rPr>
        <w:t>一、部门职责</w:t>
      </w:r>
      <w:r>
        <w:rPr>
          <w:rFonts w:hint="eastAsia" w:ascii="黑体" w:hAnsi="黑体" w:eastAsia="黑体"/>
          <w:kern w:val="0"/>
          <w:sz w:val="32"/>
          <w:szCs w:val="32"/>
        </w:rPr>
        <w:t>····················</w:t>
      </w:r>
    </w:p>
    <w:p>
      <w:pPr>
        <w:spacing w:line="560" w:lineRule="exact"/>
        <w:outlineLvl w:val="1"/>
        <w:rPr>
          <w:rFonts w:ascii="黑体" w:hAnsi="黑体" w:eastAsia="黑体"/>
          <w:kern w:val="0"/>
          <w:sz w:val="32"/>
          <w:szCs w:val="32"/>
        </w:rPr>
      </w:pPr>
      <w:r>
        <w:rPr>
          <w:rFonts w:ascii="黑体" w:hAnsi="黑体" w:eastAsia="黑体"/>
          <w:kern w:val="0"/>
          <w:sz w:val="32"/>
          <w:szCs w:val="32"/>
        </w:rPr>
        <w:t>二、机构设置</w:t>
      </w:r>
      <w:r>
        <w:rPr>
          <w:rFonts w:hint="eastAsia" w:ascii="黑体" w:hAnsi="黑体" w:eastAsia="黑体"/>
          <w:kern w:val="0"/>
          <w:sz w:val="32"/>
          <w:szCs w:val="32"/>
        </w:rPr>
        <w:t>····················</w:t>
      </w:r>
    </w:p>
    <w:p>
      <w:pPr>
        <w:spacing w:line="560" w:lineRule="exact"/>
        <w:jc w:val="center"/>
        <w:outlineLvl w:val="1"/>
        <w:rPr>
          <w:rFonts w:ascii="方正小标宋简体" w:eastAsia="方正小标宋简体"/>
          <w:kern w:val="0"/>
          <w:sz w:val="32"/>
          <w:szCs w:val="32"/>
        </w:rPr>
      </w:pPr>
      <w:r>
        <w:rPr>
          <w:rFonts w:ascii="方正小标宋简体" w:eastAsia="方正小标宋简体"/>
          <w:kern w:val="0"/>
          <w:sz w:val="32"/>
          <w:szCs w:val="32"/>
        </w:rPr>
        <w:t xml:space="preserve">第二部分  </w:t>
      </w:r>
      <w:r>
        <w:rPr>
          <w:rFonts w:hint="eastAsia" w:ascii="方正小标宋简体" w:eastAsia="方正小标宋简体"/>
          <w:kern w:val="0"/>
          <w:sz w:val="32"/>
          <w:szCs w:val="32"/>
        </w:rPr>
        <w:t>2022年</w:t>
      </w:r>
      <w:r>
        <w:rPr>
          <w:rFonts w:ascii="方正小标宋简体" w:eastAsia="方正小标宋简体"/>
          <w:kern w:val="0"/>
          <w:sz w:val="32"/>
          <w:szCs w:val="32"/>
        </w:rPr>
        <w:t>度部门决算表</w:t>
      </w:r>
    </w:p>
    <w:p>
      <w:pPr>
        <w:spacing w:line="560" w:lineRule="exact"/>
        <w:outlineLvl w:val="1"/>
        <w:rPr>
          <w:rFonts w:ascii="黑体" w:hAnsi="黑体" w:eastAsia="黑体"/>
          <w:kern w:val="0"/>
          <w:sz w:val="32"/>
          <w:szCs w:val="32"/>
        </w:rPr>
      </w:pPr>
      <w:r>
        <w:rPr>
          <w:rFonts w:ascii="黑体" w:hAnsi="黑体" w:eastAsia="黑体"/>
          <w:kern w:val="0"/>
          <w:sz w:val="32"/>
          <w:szCs w:val="32"/>
        </w:rPr>
        <w:t>一、收入支出决算总表</w:t>
      </w:r>
      <w:r>
        <w:rPr>
          <w:rFonts w:hint="eastAsia" w:ascii="黑体" w:hAnsi="黑体" w:eastAsia="黑体"/>
          <w:kern w:val="0"/>
          <w:sz w:val="32"/>
          <w:szCs w:val="32"/>
        </w:rPr>
        <w:t>················</w:t>
      </w:r>
    </w:p>
    <w:p>
      <w:pPr>
        <w:spacing w:line="560" w:lineRule="exact"/>
        <w:outlineLvl w:val="1"/>
        <w:rPr>
          <w:rFonts w:ascii="黑体" w:hAnsi="黑体" w:eastAsia="黑体"/>
          <w:kern w:val="0"/>
          <w:sz w:val="32"/>
          <w:szCs w:val="32"/>
        </w:rPr>
      </w:pPr>
      <w:r>
        <w:rPr>
          <w:rFonts w:ascii="黑体" w:hAnsi="黑体" w:eastAsia="黑体"/>
          <w:kern w:val="0"/>
          <w:sz w:val="32"/>
          <w:szCs w:val="32"/>
        </w:rPr>
        <w:t>二、收入决算表</w:t>
      </w:r>
      <w:r>
        <w:rPr>
          <w:rFonts w:hint="eastAsia" w:ascii="黑体" w:hAnsi="黑体" w:eastAsia="黑体"/>
          <w:kern w:val="0"/>
          <w:sz w:val="32"/>
          <w:szCs w:val="32"/>
        </w:rPr>
        <w:t>···················</w:t>
      </w:r>
    </w:p>
    <w:p>
      <w:pPr>
        <w:spacing w:line="560" w:lineRule="exact"/>
        <w:outlineLvl w:val="1"/>
        <w:rPr>
          <w:rFonts w:ascii="黑体" w:hAnsi="黑体" w:eastAsia="黑体"/>
          <w:kern w:val="0"/>
          <w:sz w:val="32"/>
          <w:szCs w:val="32"/>
        </w:rPr>
      </w:pPr>
      <w:r>
        <w:rPr>
          <w:rFonts w:ascii="黑体" w:hAnsi="黑体" w:eastAsia="黑体"/>
          <w:kern w:val="0"/>
          <w:sz w:val="32"/>
          <w:szCs w:val="32"/>
        </w:rPr>
        <w:t>三、支出决算表</w:t>
      </w:r>
      <w:r>
        <w:rPr>
          <w:rFonts w:hint="eastAsia" w:ascii="黑体" w:hAnsi="黑体" w:eastAsia="黑体"/>
          <w:kern w:val="0"/>
          <w:sz w:val="32"/>
          <w:szCs w:val="32"/>
        </w:rPr>
        <w:t>···················</w:t>
      </w:r>
    </w:p>
    <w:p>
      <w:pPr>
        <w:spacing w:line="560" w:lineRule="exact"/>
        <w:outlineLvl w:val="1"/>
        <w:rPr>
          <w:rFonts w:ascii="黑体" w:hAnsi="黑体" w:eastAsia="黑体"/>
          <w:kern w:val="0"/>
          <w:sz w:val="32"/>
          <w:szCs w:val="32"/>
        </w:rPr>
      </w:pPr>
      <w:r>
        <w:rPr>
          <w:rFonts w:ascii="黑体" w:hAnsi="黑体" w:eastAsia="黑体"/>
          <w:kern w:val="0"/>
          <w:sz w:val="32"/>
          <w:szCs w:val="32"/>
        </w:rPr>
        <w:t>四、财政拨款收入支出决算总表</w:t>
      </w:r>
      <w:r>
        <w:rPr>
          <w:rFonts w:hint="eastAsia" w:ascii="黑体" w:hAnsi="黑体" w:eastAsia="黑体"/>
          <w:kern w:val="0"/>
          <w:sz w:val="32"/>
          <w:szCs w:val="32"/>
        </w:rPr>
        <w:t>············</w:t>
      </w:r>
    </w:p>
    <w:p>
      <w:pPr>
        <w:spacing w:line="560" w:lineRule="exact"/>
        <w:outlineLvl w:val="1"/>
        <w:rPr>
          <w:rFonts w:ascii="黑体" w:hAnsi="黑体" w:eastAsia="黑体"/>
          <w:kern w:val="0"/>
          <w:sz w:val="32"/>
          <w:szCs w:val="32"/>
        </w:rPr>
      </w:pPr>
      <w:r>
        <w:rPr>
          <w:rFonts w:ascii="黑体" w:hAnsi="黑体" w:eastAsia="黑体"/>
          <w:kern w:val="0"/>
          <w:sz w:val="32"/>
          <w:szCs w:val="32"/>
        </w:rPr>
        <w:t>五、一般公共预算财政拨款支出决算表</w:t>
      </w:r>
      <w:r>
        <w:rPr>
          <w:rFonts w:hint="eastAsia" w:ascii="黑体" w:hAnsi="黑体" w:eastAsia="黑体"/>
          <w:kern w:val="0"/>
          <w:sz w:val="32"/>
          <w:szCs w:val="32"/>
        </w:rPr>
        <w:t>·········</w:t>
      </w:r>
    </w:p>
    <w:p>
      <w:pPr>
        <w:spacing w:line="560" w:lineRule="exact"/>
        <w:outlineLvl w:val="1"/>
        <w:rPr>
          <w:rFonts w:ascii="黑体" w:hAnsi="黑体" w:eastAsia="黑体"/>
          <w:kern w:val="0"/>
          <w:sz w:val="32"/>
          <w:szCs w:val="32"/>
        </w:rPr>
      </w:pPr>
      <w:r>
        <w:rPr>
          <w:rFonts w:ascii="黑体" w:hAnsi="黑体" w:eastAsia="黑体"/>
          <w:kern w:val="0"/>
          <w:sz w:val="32"/>
          <w:szCs w:val="32"/>
        </w:rPr>
        <w:t>六、一般公共预算财政拨款基本支出决算表</w:t>
      </w:r>
      <w:r>
        <w:rPr>
          <w:rFonts w:hint="eastAsia" w:ascii="黑体" w:hAnsi="黑体" w:eastAsia="黑体"/>
          <w:kern w:val="0"/>
          <w:sz w:val="32"/>
          <w:szCs w:val="32"/>
        </w:rPr>
        <w:t>·······</w:t>
      </w:r>
    </w:p>
    <w:p>
      <w:pPr>
        <w:spacing w:line="560" w:lineRule="exact"/>
        <w:outlineLvl w:val="1"/>
        <w:rPr>
          <w:rFonts w:ascii="黑体" w:hAnsi="黑体" w:eastAsia="黑体"/>
          <w:kern w:val="0"/>
          <w:sz w:val="32"/>
          <w:szCs w:val="32"/>
        </w:rPr>
      </w:pPr>
      <w:r>
        <w:rPr>
          <w:rFonts w:ascii="黑体" w:hAnsi="黑体" w:eastAsia="黑体"/>
          <w:kern w:val="0"/>
          <w:sz w:val="32"/>
          <w:szCs w:val="32"/>
        </w:rPr>
        <w:t>七、一般公共预算财政拨款“三公”经费支出决算表</w:t>
      </w:r>
      <w:r>
        <w:rPr>
          <w:rFonts w:hint="eastAsia" w:ascii="黑体" w:hAnsi="黑体" w:eastAsia="黑体"/>
          <w:kern w:val="0"/>
          <w:sz w:val="32"/>
          <w:szCs w:val="32"/>
        </w:rPr>
        <w:t>···</w:t>
      </w:r>
    </w:p>
    <w:p>
      <w:pPr>
        <w:spacing w:line="560" w:lineRule="exact"/>
        <w:outlineLvl w:val="1"/>
        <w:rPr>
          <w:rFonts w:ascii="黑体" w:hAnsi="黑体" w:eastAsia="黑体"/>
          <w:kern w:val="0"/>
          <w:sz w:val="32"/>
          <w:szCs w:val="32"/>
        </w:rPr>
      </w:pPr>
      <w:r>
        <w:rPr>
          <w:rFonts w:ascii="黑体" w:hAnsi="黑体" w:eastAsia="黑体"/>
          <w:kern w:val="0"/>
          <w:sz w:val="32"/>
          <w:szCs w:val="32"/>
        </w:rPr>
        <w:t>八、政府性基金预算财政拨款收入支出决算表</w:t>
      </w:r>
      <w:r>
        <w:rPr>
          <w:rFonts w:hint="eastAsia" w:ascii="黑体" w:hAnsi="黑体" w:eastAsia="黑体"/>
          <w:kern w:val="0"/>
          <w:sz w:val="32"/>
          <w:szCs w:val="32"/>
        </w:rPr>
        <w:t>······</w:t>
      </w:r>
    </w:p>
    <w:p>
      <w:pPr>
        <w:spacing w:line="560" w:lineRule="exact"/>
        <w:outlineLvl w:val="1"/>
        <w:rPr>
          <w:rFonts w:ascii="黑体" w:hAnsi="黑体" w:eastAsia="黑体"/>
          <w:kern w:val="0"/>
          <w:sz w:val="32"/>
          <w:szCs w:val="32"/>
        </w:rPr>
      </w:pPr>
      <w:r>
        <w:rPr>
          <w:rFonts w:hint="eastAsia" w:ascii="黑体" w:hAnsi="黑体" w:eastAsia="黑体"/>
          <w:kern w:val="0"/>
          <w:sz w:val="32"/>
          <w:szCs w:val="32"/>
        </w:rPr>
        <w:t>九、国有资本经营预算财政拨款支出决算表·······</w:t>
      </w:r>
    </w:p>
    <w:p>
      <w:pPr>
        <w:spacing w:line="560" w:lineRule="exact"/>
        <w:jc w:val="center"/>
        <w:outlineLvl w:val="1"/>
        <w:rPr>
          <w:rFonts w:ascii="方正小标宋简体" w:eastAsia="方正小标宋简体"/>
          <w:kern w:val="0"/>
          <w:sz w:val="32"/>
          <w:szCs w:val="32"/>
        </w:rPr>
      </w:pPr>
      <w:r>
        <w:rPr>
          <w:rFonts w:ascii="方正小标宋简体" w:eastAsia="方正小标宋简体"/>
          <w:kern w:val="0"/>
          <w:sz w:val="32"/>
          <w:szCs w:val="32"/>
        </w:rPr>
        <w:t xml:space="preserve">第三部分  </w:t>
      </w:r>
      <w:r>
        <w:rPr>
          <w:rFonts w:hint="eastAsia" w:ascii="方正小标宋简体" w:eastAsia="方正小标宋简体"/>
          <w:kern w:val="0"/>
          <w:sz w:val="32"/>
          <w:szCs w:val="32"/>
        </w:rPr>
        <w:t>2022年</w:t>
      </w:r>
      <w:r>
        <w:rPr>
          <w:rFonts w:ascii="方正小标宋简体" w:eastAsia="方正小标宋简体"/>
          <w:kern w:val="0"/>
          <w:sz w:val="32"/>
          <w:szCs w:val="32"/>
        </w:rPr>
        <w:t>度部门决算情况说明</w:t>
      </w:r>
    </w:p>
    <w:p>
      <w:pPr>
        <w:spacing w:line="560" w:lineRule="exact"/>
        <w:outlineLvl w:val="1"/>
        <w:rPr>
          <w:rFonts w:ascii="黑体" w:hAnsi="黑体" w:eastAsia="黑体"/>
          <w:kern w:val="0"/>
          <w:sz w:val="32"/>
          <w:szCs w:val="32"/>
        </w:rPr>
      </w:pPr>
      <w:r>
        <w:rPr>
          <w:rFonts w:ascii="黑体" w:hAnsi="黑体" w:eastAsia="黑体"/>
          <w:kern w:val="0"/>
          <w:sz w:val="32"/>
          <w:szCs w:val="32"/>
        </w:rPr>
        <w:t>一、收入支出决算总体情况说明</w:t>
      </w:r>
      <w:r>
        <w:rPr>
          <w:rFonts w:hint="eastAsia" w:ascii="黑体" w:hAnsi="黑体" w:eastAsia="黑体"/>
          <w:kern w:val="0"/>
          <w:sz w:val="32"/>
          <w:szCs w:val="32"/>
        </w:rPr>
        <w:t>············</w:t>
      </w:r>
    </w:p>
    <w:p>
      <w:pPr>
        <w:spacing w:line="560" w:lineRule="exact"/>
        <w:outlineLvl w:val="1"/>
        <w:rPr>
          <w:rFonts w:ascii="黑体" w:hAnsi="黑体" w:eastAsia="黑体"/>
          <w:kern w:val="0"/>
          <w:sz w:val="32"/>
          <w:szCs w:val="32"/>
        </w:rPr>
      </w:pPr>
      <w:r>
        <w:rPr>
          <w:rFonts w:ascii="黑体" w:hAnsi="黑体" w:eastAsia="黑体"/>
          <w:kern w:val="0"/>
          <w:sz w:val="32"/>
          <w:szCs w:val="32"/>
        </w:rPr>
        <w:t>二、收入决算情况说明</w:t>
      </w:r>
      <w:r>
        <w:rPr>
          <w:rFonts w:hint="eastAsia" w:ascii="黑体" w:hAnsi="黑体" w:eastAsia="黑体"/>
          <w:kern w:val="0"/>
          <w:sz w:val="32"/>
          <w:szCs w:val="32"/>
        </w:rPr>
        <w:t>················</w:t>
      </w:r>
    </w:p>
    <w:p>
      <w:pPr>
        <w:spacing w:line="560" w:lineRule="exact"/>
        <w:outlineLvl w:val="1"/>
        <w:rPr>
          <w:rFonts w:ascii="黑体" w:hAnsi="黑体" w:eastAsia="黑体"/>
          <w:kern w:val="0"/>
          <w:sz w:val="32"/>
          <w:szCs w:val="32"/>
        </w:rPr>
      </w:pPr>
      <w:r>
        <w:rPr>
          <w:rFonts w:ascii="黑体" w:hAnsi="黑体" w:eastAsia="黑体"/>
          <w:kern w:val="0"/>
          <w:sz w:val="32"/>
          <w:szCs w:val="32"/>
        </w:rPr>
        <w:t>三、支出决算情况说明</w:t>
      </w:r>
      <w:r>
        <w:rPr>
          <w:rFonts w:hint="eastAsia" w:ascii="黑体" w:hAnsi="黑体" w:eastAsia="黑体"/>
          <w:kern w:val="0"/>
          <w:sz w:val="32"/>
          <w:szCs w:val="32"/>
        </w:rPr>
        <w:t>················</w:t>
      </w:r>
    </w:p>
    <w:p>
      <w:pPr>
        <w:spacing w:line="560" w:lineRule="exact"/>
        <w:outlineLvl w:val="1"/>
        <w:rPr>
          <w:rFonts w:ascii="黑体" w:hAnsi="黑体" w:eastAsia="黑体"/>
          <w:kern w:val="0"/>
          <w:sz w:val="32"/>
          <w:szCs w:val="32"/>
        </w:rPr>
      </w:pPr>
      <w:r>
        <w:rPr>
          <w:rFonts w:ascii="黑体" w:hAnsi="黑体" w:eastAsia="黑体"/>
          <w:kern w:val="0"/>
          <w:sz w:val="32"/>
          <w:szCs w:val="32"/>
        </w:rPr>
        <w:t>四、财政拨款收入支出决算总体情况说明</w:t>
      </w:r>
      <w:r>
        <w:rPr>
          <w:rFonts w:hint="eastAsia" w:ascii="黑体" w:hAnsi="黑体" w:eastAsia="黑体"/>
          <w:kern w:val="0"/>
          <w:sz w:val="32"/>
          <w:szCs w:val="32"/>
        </w:rPr>
        <w:t>········</w:t>
      </w:r>
    </w:p>
    <w:p>
      <w:pPr>
        <w:spacing w:line="560" w:lineRule="exact"/>
        <w:outlineLvl w:val="1"/>
        <w:rPr>
          <w:rFonts w:ascii="黑体" w:hAnsi="黑体" w:eastAsia="黑体"/>
          <w:kern w:val="0"/>
          <w:sz w:val="32"/>
          <w:szCs w:val="32"/>
        </w:rPr>
      </w:pPr>
      <w:r>
        <w:rPr>
          <w:rFonts w:ascii="黑体" w:hAnsi="黑体" w:eastAsia="黑体"/>
          <w:kern w:val="0"/>
          <w:sz w:val="32"/>
          <w:szCs w:val="32"/>
        </w:rPr>
        <w:t>五、一般公共预算财政拨款支出决算情况说明</w:t>
      </w:r>
      <w:r>
        <w:rPr>
          <w:rFonts w:hint="eastAsia" w:ascii="黑体" w:hAnsi="黑体" w:eastAsia="黑体"/>
          <w:kern w:val="0"/>
          <w:sz w:val="32"/>
          <w:szCs w:val="32"/>
        </w:rPr>
        <w:t>······</w:t>
      </w:r>
    </w:p>
    <w:p>
      <w:pPr>
        <w:spacing w:line="560" w:lineRule="exact"/>
        <w:outlineLvl w:val="1"/>
        <w:rPr>
          <w:rFonts w:ascii="黑体" w:hAnsi="黑体" w:eastAsia="黑体"/>
          <w:kern w:val="0"/>
          <w:sz w:val="32"/>
          <w:szCs w:val="32"/>
        </w:rPr>
      </w:pPr>
      <w:r>
        <w:rPr>
          <w:rFonts w:ascii="黑体" w:hAnsi="黑体" w:eastAsia="黑体"/>
          <w:kern w:val="0"/>
          <w:sz w:val="32"/>
          <w:szCs w:val="32"/>
        </w:rPr>
        <w:t>六、一般公共预算财政拨款基本支出决算情况说明</w:t>
      </w:r>
      <w:r>
        <w:rPr>
          <w:rFonts w:hint="eastAsia" w:ascii="黑体" w:hAnsi="黑体" w:eastAsia="黑体"/>
          <w:kern w:val="0"/>
          <w:sz w:val="32"/>
          <w:szCs w:val="32"/>
        </w:rPr>
        <w:t>····</w:t>
      </w:r>
    </w:p>
    <w:p>
      <w:pPr>
        <w:spacing w:line="560" w:lineRule="exact"/>
        <w:outlineLvl w:val="1"/>
        <w:rPr>
          <w:rFonts w:ascii="黑体" w:hAnsi="黑体" w:eastAsia="黑体"/>
          <w:kern w:val="0"/>
          <w:sz w:val="32"/>
          <w:szCs w:val="32"/>
        </w:rPr>
      </w:pPr>
      <w:r>
        <w:rPr>
          <w:rFonts w:ascii="黑体" w:hAnsi="黑体" w:eastAsia="黑体"/>
          <w:kern w:val="0"/>
          <w:sz w:val="32"/>
          <w:szCs w:val="32"/>
        </w:rPr>
        <w:t>七、一般公共预算财政拨款“三公”经费支出决算情况说明</w:t>
      </w:r>
    </w:p>
    <w:p>
      <w:pPr>
        <w:spacing w:line="560" w:lineRule="exact"/>
        <w:outlineLvl w:val="1"/>
        <w:rPr>
          <w:rFonts w:ascii="黑体" w:hAnsi="黑体" w:eastAsia="黑体"/>
          <w:kern w:val="0"/>
          <w:sz w:val="32"/>
          <w:szCs w:val="32"/>
        </w:rPr>
      </w:pPr>
      <w:r>
        <w:rPr>
          <w:rFonts w:hint="eastAsia" w:ascii="黑体" w:hAnsi="黑体" w:eastAsia="黑体"/>
          <w:kern w:val="0"/>
          <w:sz w:val="32"/>
          <w:szCs w:val="32"/>
        </w:rPr>
        <w:t>··························</w:t>
      </w:r>
    </w:p>
    <w:p>
      <w:pPr>
        <w:spacing w:line="560" w:lineRule="exact"/>
        <w:outlineLvl w:val="1"/>
        <w:rPr>
          <w:rFonts w:ascii="黑体" w:hAnsi="黑体" w:eastAsia="黑体"/>
          <w:kern w:val="0"/>
          <w:sz w:val="32"/>
          <w:szCs w:val="32"/>
        </w:rPr>
      </w:pPr>
      <w:r>
        <w:rPr>
          <w:rFonts w:ascii="黑体" w:hAnsi="黑体" w:eastAsia="黑体"/>
          <w:kern w:val="0"/>
          <w:sz w:val="32"/>
          <w:szCs w:val="32"/>
        </w:rPr>
        <w:t>八、政府性基金预算财政拨款收入支出决算情况说明</w:t>
      </w:r>
      <w:r>
        <w:rPr>
          <w:rFonts w:hint="eastAsia" w:ascii="黑体" w:hAnsi="黑体" w:eastAsia="黑体"/>
          <w:kern w:val="0"/>
          <w:sz w:val="32"/>
          <w:szCs w:val="32"/>
        </w:rPr>
        <w:t>···</w:t>
      </w:r>
    </w:p>
    <w:p>
      <w:pPr>
        <w:spacing w:line="560" w:lineRule="exact"/>
        <w:outlineLvl w:val="1"/>
        <w:rPr>
          <w:rFonts w:ascii="黑体" w:hAnsi="黑体" w:eastAsia="黑体"/>
          <w:kern w:val="0"/>
          <w:sz w:val="32"/>
          <w:szCs w:val="32"/>
        </w:rPr>
      </w:pPr>
      <w:r>
        <w:rPr>
          <w:rFonts w:ascii="黑体" w:hAnsi="黑体" w:eastAsia="黑体"/>
          <w:kern w:val="0"/>
          <w:sz w:val="32"/>
          <w:szCs w:val="32"/>
        </w:rPr>
        <w:t>九、其他重要事项的情况说明</w:t>
      </w:r>
      <w:r>
        <w:rPr>
          <w:rFonts w:hint="eastAsia" w:ascii="黑体" w:hAnsi="黑体" w:eastAsia="黑体"/>
          <w:kern w:val="0"/>
          <w:sz w:val="32"/>
          <w:szCs w:val="32"/>
        </w:rPr>
        <w:t>·············</w:t>
      </w:r>
    </w:p>
    <w:p>
      <w:pPr>
        <w:spacing w:line="560" w:lineRule="exact"/>
        <w:outlineLvl w:val="1"/>
        <w:rPr>
          <w:rFonts w:ascii="楷体_GB2312" w:eastAsia="楷体_GB2312"/>
          <w:b/>
          <w:kern w:val="0"/>
          <w:sz w:val="32"/>
          <w:szCs w:val="32"/>
        </w:rPr>
      </w:pPr>
      <w:r>
        <w:rPr>
          <w:rFonts w:hint="eastAsia" w:ascii="楷体_GB2312" w:eastAsia="楷体_GB2312"/>
          <w:b/>
          <w:kern w:val="0"/>
          <w:sz w:val="32"/>
          <w:szCs w:val="32"/>
        </w:rPr>
        <w:t>（一）机关运行经费支出情况说明</w:t>
      </w:r>
      <w:r>
        <w:rPr>
          <w:rFonts w:hint="eastAsia" w:ascii="黑体" w:hAnsi="黑体" w:eastAsia="黑体"/>
          <w:kern w:val="0"/>
          <w:sz w:val="32"/>
          <w:szCs w:val="32"/>
        </w:rPr>
        <w:t>···········</w:t>
      </w:r>
    </w:p>
    <w:p>
      <w:pPr>
        <w:spacing w:line="560" w:lineRule="exact"/>
        <w:outlineLvl w:val="1"/>
        <w:rPr>
          <w:rFonts w:ascii="楷体_GB2312" w:eastAsia="楷体_GB2312"/>
          <w:b/>
          <w:kern w:val="0"/>
          <w:sz w:val="32"/>
          <w:szCs w:val="32"/>
        </w:rPr>
      </w:pPr>
      <w:r>
        <w:rPr>
          <w:rFonts w:hint="eastAsia" w:ascii="楷体_GB2312" w:eastAsia="楷体_GB2312"/>
          <w:b/>
          <w:kern w:val="0"/>
          <w:sz w:val="32"/>
          <w:szCs w:val="32"/>
        </w:rPr>
        <w:t>（二）政府采购情况说明</w:t>
      </w:r>
      <w:r>
        <w:rPr>
          <w:rFonts w:hint="eastAsia" w:ascii="黑体" w:hAnsi="黑体" w:eastAsia="黑体"/>
          <w:kern w:val="0"/>
          <w:sz w:val="32"/>
          <w:szCs w:val="32"/>
        </w:rPr>
        <w:t>···············</w:t>
      </w:r>
    </w:p>
    <w:p>
      <w:pPr>
        <w:spacing w:line="560" w:lineRule="exact"/>
        <w:outlineLvl w:val="1"/>
        <w:rPr>
          <w:rFonts w:ascii="楷体_GB2312" w:eastAsia="楷体_GB2312"/>
          <w:b/>
          <w:kern w:val="0"/>
          <w:sz w:val="32"/>
          <w:szCs w:val="32"/>
        </w:rPr>
      </w:pPr>
      <w:r>
        <w:rPr>
          <w:rFonts w:hint="eastAsia" w:ascii="楷体_GB2312" w:eastAsia="楷体_GB2312"/>
          <w:b/>
          <w:kern w:val="0"/>
          <w:sz w:val="32"/>
          <w:szCs w:val="32"/>
        </w:rPr>
        <w:t>（三）国有资产占有使用情况说明</w:t>
      </w:r>
      <w:r>
        <w:rPr>
          <w:rFonts w:hint="eastAsia" w:ascii="黑体" w:hAnsi="黑体" w:eastAsia="黑体"/>
          <w:kern w:val="0"/>
          <w:sz w:val="32"/>
          <w:szCs w:val="32"/>
        </w:rPr>
        <w:t>···········</w:t>
      </w:r>
    </w:p>
    <w:p>
      <w:pPr>
        <w:spacing w:line="560" w:lineRule="exact"/>
        <w:outlineLvl w:val="1"/>
        <w:rPr>
          <w:rFonts w:ascii="楷体_GB2312" w:eastAsia="楷体_GB2312"/>
          <w:b/>
          <w:kern w:val="0"/>
          <w:sz w:val="32"/>
          <w:szCs w:val="32"/>
        </w:rPr>
      </w:pPr>
      <w:r>
        <w:rPr>
          <w:rFonts w:hint="eastAsia" w:ascii="楷体_GB2312" w:eastAsia="楷体_GB2312"/>
          <w:b/>
          <w:kern w:val="0"/>
          <w:sz w:val="32"/>
          <w:szCs w:val="32"/>
        </w:rPr>
        <w:t>（四）预算绩效管理工作开展情况说明</w:t>
      </w:r>
      <w:r>
        <w:rPr>
          <w:rFonts w:hint="eastAsia" w:ascii="黑体" w:hAnsi="黑体" w:eastAsia="黑体"/>
          <w:kern w:val="0"/>
          <w:sz w:val="32"/>
          <w:szCs w:val="32"/>
        </w:rPr>
        <w:t>·········</w:t>
      </w:r>
    </w:p>
    <w:p>
      <w:pPr>
        <w:spacing w:line="560" w:lineRule="exact"/>
        <w:jc w:val="center"/>
        <w:outlineLvl w:val="1"/>
        <w:rPr>
          <w:rFonts w:ascii="方正小标宋简体" w:eastAsia="方正小标宋简体"/>
          <w:kern w:val="0"/>
          <w:sz w:val="32"/>
          <w:szCs w:val="32"/>
        </w:rPr>
      </w:pPr>
      <w:r>
        <w:rPr>
          <w:rFonts w:ascii="方正小标宋简体" w:eastAsia="方正小标宋简体"/>
          <w:kern w:val="0"/>
          <w:sz w:val="32"/>
          <w:szCs w:val="32"/>
        </w:rPr>
        <w:t>第四部分  名词解释</w:t>
      </w:r>
    </w:p>
    <w:p>
      <w:pPr>
        <w:spacing w:line="560" w:lineRule="exact"/>
        <w:outlineLvl w:val="1"/>
        <w:rPr>
          <w:rFonts w:ascii="方正小标宋简体" w:eastAsia="方正小标宋简体"/>
          <w:kern w:val="0"/>
          <w:sz w:val="44"/>
          <w:szCs w:val="44"/>
        </w:rPr>
        <w:sectPr>
          <w:type w:val="continuous"/>
          <w:pgSz w:w="11906" w:h="16838"/>
          <w:pgMar w:top="2098" w:right="1474" w:bottom="1985" w:left="1588" w:header="851" w:footer="1021" w:gutter="0"/>
          <w:pgNumType w:start="2"/>
          <w:cols w:space="720" w:num="1"/>
          <w:docGrid w:linePitch="312" w:charSpace="0"/>
        </w:sectPr>
      </w:pPr>
      <w:r>
        <w:rPr>
          <w:rFonts w:ascii="黑体" w:hAnsi="黑体" w:eastAsia="黑体"/>
          <w:kern w:val="0"/>
          <w:sz w:val="32"/>
          <w:szCs w:val="32"/>
        </w:rPr>
        <w:t>一、</w:t>
      </w:r>
      <w:r>
        <w:rPr>
          <w:rFonts w:hint="eastAsia" w:ascii="黑体" w:hAnsi="黑体" w:eastAsia="黑体"/>
          <w:kern w:val="0"/>
          <w:sz w:val="32"/>
          <w:szCs w:val="32"/>
        </w:rPr>
        <w:t>名词解释····················</w:t>
      </w:r>
    </w:p>
    <w:p>
      <w:pPr>
        <w:widowControl/>
        <w:spacing w:line="560" w:lineRule="exact"/>
        <w:jc w:val="center"/>
        <w:outlineLvl w:val="1"/>
        <w:rPr>
          <w:rFonts w:ascii="方正小标宋简体" w:eastAsia="方正小标宋简体"/>
          <w:kern w:val="0"/>
          <w:sz w:val="44"/>
          <w:szCs w:val="44"/>
        </w:rPr>
      </w:pPr>
      <w:r>
        <w:rPr>
          <w:rFonts w:hint="eastAsia" w:ascii="方正小标宋简体" w:eastAsia="方正小标宋简体"/>
          <w:kern w:val="0"/>
          <w:sz w:val="44"/>
          <w:szCs w:val="44"/>
        </w:rPr>
        <w:t>第一部分  单位概况</w:t>
      </w:r>
    </w:p>
    <w:p>
      <w:pPr>
        <w:widowControl/>
        <w:spacing w:line="560" w:lineRule="exact"/>
        <w:jc w:val="left"/>
        <w:rPr>
          <w:rFonts w:eastAsia="仿宋_GB2312"/>
          <w:b/>
          <w:bCs/>
          <w:kern w:val="0"/>
          <w:sz w:val="32"/>
          <w:szCs w:val="32"/>
        </w:rPr>
      </w:pPr>
    </w:p>
    <w:p>
      <w:pPr>
        <w:widowControl/>
        <w:spacing w:line="560" w:lineRule="exact"/>
        <w:ind w:firstLine="640" w:firstLineChars="200"/>
        <w:jc w:val="left"/>
        <w:rPr>
          <w:rFonts w:ascii="黑体" w:hAnsi="黑体" w:eastAsia="黑体"/>
          <w:bCs/>
          <w:kern w:val="0"/>
          <w:sz w:val="32"/>
          <w:szCs w:val="32"/>
        </w:rPr>
      </w:pPr>
      <w:r>
        <w:rPr>
          <w:rFonts w:ascii="黑体" w:hAnsi="黑体" w:eastAsia="黑体"/>
          <w:kern w:val="0"/>
          <w:sz w:val="32"/>
          <w:szCs w:val="32"/>
        </w:rPr>
        <w:t>一、部门职责</w:t>
      </w:r>
    </w:p>
    <w:p>
      <w:pPr>
        <w:pStyle w:val="22"/>
        <w:numPr>
          <w:ilvl w:val="0"/>
          <w:numId w:val="1"/>
        </w:numPr>
        <w:spacing w:line="560" w:lineRule="exact"/>
        <w:ind w:firstLineChars="0"/>
        <w:rPr>
          <w:rFonts w:ascii="黑体" w:hAnsi="黑体" w:eastAsia="黑体" w:cs="宋体"/>
          <w:bCs/>
          <w:kern w:val="0"/>
          <w:sz w:val="32"/>
          <w:szCs w:val="32"/>
        </w:rPr>
      </w:pPr>
      <w:r>
        <w:rPr>
          <w:rFonts w:hint="eastAsia" w:ascii="黑体" w:hAnsi="黑体" w:eastAsia="黑体" w:cs="宋体"/>
          <w:bCs/>
          <w:kern w:val="0"/>
          <w:sz w:val="32"/>
          <w:szCs w:val="32"/>
        </w:rPr>
        <w:t>执行政策</w:t>
      </w:r>
      <w:bookmarkStart w:id="0" w:name="OLE_LINK3"/>
    </w:p>
    <w:p>
      <w:pPr>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认真贯彻落实党在农村的各项方针政策、各项法律法规，落实支农惠农的各项政策措施，大力推行农村互助资金和土地流转，保障和和维护农民的合法权益，促进农村基层政权建设和民主法制建设，维护社会稳定，巩固党在农村的执政基础。</w:t>
      </w:r>
    </w:p>
    <w:p>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 xml:space="preserve"> （二）发展经济</w:t>
      </w:r>
    </w:p>
    <w:p>
      <w:pPr>
        <w:spacing w:line="560" w:lineRule="exact"/>
        <w:rPr>
          <w:rFonts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 xml:space="preserve">  制定并组织实施好镇村经济发展和新农村建设规划；引导组织农民发展现代农业，培育壮大优势特色产业，培植产业化经营的龙头企业，优化和调整农村经济结构，推进农业产业化发展，搞活农村互助资金，加快农业种植、畜牧养殖资金周转，增加农民收入；培育各种形式的农民专业合作经济组织，为农民提供市场信息、先进技术、优良品种、病虫害防治、农副产品销售等服务。充分发挥良田镇土地资源优势，搞好土地流转，做精做强特色种植，加强劳务输出等扶贫开发工作，培育发展设施农业、畜牧养殖、劳务输出、生态旅游四大主导产业。</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w:t>
      </w:r>
      <w:r>
        <w:rPr>
          <w:rFonts w:hint="eastAsia" w:ascii="楷体" w:hAnsi="楷体" w:eastAsia="楷体" w:cs="楷体"/>
          <w:b/>
          <w:bCs/>
          <w:sz w:val="32"/>
          <w:szCs w:val="32"/>
        </w:rPr>
        <w:t>三）发展公共事业</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加强农村公益性基础设施的建设与管理，改善农村生产生活条件；加强土地管理，搞好农田水利基本建设；做好村民自治、人口和计划生育、事务管理等工作；加强教育、文化、卫生、体育等社会事业建设；健全农业服务体系，为农民群众产业结构调整提供政策、科技、信息服务；搞好农贸市场监管、维护市场秩序；搞好资源节约，保护和建设农村生态环境；搞好村级</w:t>
      </w:r>
      <w:bookmarkStart w:id="1" w:name="_GoBack"/>
      <w:bookmarkEnd w:id="1"/>
      <w:r>
        <w:rPr>
          <w:rFonts w:hint="eastAsia" w:ascii="仿宋_GB2312" w:hAnsi="仿宋_GB2312" w:eastAsia="仿宋_GB2312" w:cs="仿宋_GB2312"/>
          <w:sz w:val="32"/>
          <w:szCs w:val="32"/>
        </w:rPr>
        <w:t>互助资金监管；建立和完善社会保障体系，推进农村养老保险、医疗保险、社会救助和最低生活保障等制度建设，做好五保户供养和鳏寡孤独、残疾人及农村贫困人口救助工作，提高保障公共安全的能力；加强安全生产监管，保护群众的生命财产安全。</w:t>
      </w:r>
    </w:p>
    <w:p>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（四）负责农村社会管理，维护农村社会稳定</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进一步发展和完善村民自治制度，加强基层精神文明和民主法制建设，提高农民思想道德科学文化和健康素质，加强和改进镇党委、政府对村级党组织和村民委员会的领导和指导，增强社会自治功能；综合发挥人民调解、行政调解和司法调解的作用，建立健全各种应急机制和矛盾纠纷调节机制，推进依法执政，严格依法履行职责维护农村社会稳定。</w:t>
      </w:r>
      <w:bookmarkEnd w:id="0"/>
    </w:p>
    <w:p>
      <w:pPr>
        <w:widowControl/>
        <w:spacing w:line="560" w:lineRule="exact"/>
        <w:ind w:firstLine="640" w:firstLineChars="200"/>
        <w:jc w:val="left"/>
        <w:rPr>
          <w:rFonts w:ascii="黑体" w:hAnsi="黑体" w:eastAsia="黑体"/>
          <w:kern w:val="0"/>
          <w:sz w:val="32"/>
          <w:szCs w:val="32"/>
        </w:rPr>
      </w:pPr>
      <w:r>
        <w:rPr>
          <w:rFonts w:ascii="黑体" w:hAnsi="黑体" w:eastAsia="黑体"/>
          <w:kern w:val="0"/>
          <w:sz w:val="32"/>
          <w:szCs w:val="32"/>
        </w:rPr>
        <w:t>二、机构设置</w:t>
      </w:r>
    </w:p>
    <w:p>
      <w:pPr>
        <w:pStyle w:val="27"/>
        <w:spacing w:line="560" w:lineRule="exact"/>
        <w:ind w:firstLine="800" w:firstLineChars="250"/>
        <w:rPr>
          <w:rFonts w:ascii="仿宋_GB2312" w:eastAsia="仿宋_GB2312"/>
          <w:sz w:val="32"/>
          <w:szCs w:val="32"/>
        </w:rPr>
      </w:pPr>
      <w:r>
        <w:rPr>
          <w:rFonts w:hint="eastAsia" w:ascii="仿宋_GB2312" w:hAnsi="仿宋_GB2312" w:eastAsia="仿宋_GB2312" w:cs="仿宋_GB2312"/>
          <w:bCs/>
          <w:kern w:val="0"/>
          <w:sz w:val="32"/>
          <w:szCs w:val="32"/>
        </w:rPr>
        <w:t>1、机构情况：</w:t>
      </w:r>
      <w:r>
        <w:rPr>
          <w:rFonts w:hint="eastAsia" w:ascii="仿宋_GB2312" w:hAnsi="仿宋_GB2312" w:eastAsia="仿宋_GB2312" w:cs="仿宋_GB2312"/>
          <w:kern w:val="0"/>
          <w:sz w:val="32"/>
          <w:szCs w:val="32"/>
        </w:rPr>
        <w:t>按照部门决算编报要求，纳入良田镇政府2022年度部门决算编报范围的单位共1个，</w:t>
      </w:r>
      <w:r>
        <w:rPr>
          <w:rFonts w:hint="eastAsia" w:ascii="仿宋_GB2312" w:eastAsia="仿宋_GB2312"/>
          <w:sz w:val="32"/>
          <w:szCs w:val="32"/>
        </w:rPr>
        <w:t>2022年原有政府机关一个，无变动。</w:t>
      </w:r>
    </w:p>
    <w:p>
      <w:pPr>
        <w:pStyle w:val="27"/>
        <w:spacing w:line="560" w:lineRule="exact"/>
        <w:ind w:firstLine="800" w:firstLineChars="250"/>
        <w:rPr>
          <w:rFonts w:ascii="仿宋_GB2312" w:eastAsia="仿宋_GB2312"/>
          <w:sz w:val="32"/>
          <w:szCs w:val="32"/>
          <w:highlight w:val="none"/>
        </w:rPr>
      </w:pPr>
      <w:r>
        <w:rPr>
          <w:rFonts w:hint="eastAsia" w:ascii="仿宋_GB2312" w:eastAsia="仿宋_GB2312"/>
          <w:sz w:val="32"/>
          <w:szCs w:val="32"/>
          <w:highlight w:val="none"/>
        </w:rPr>
        <w:t>2、人员情况：</w:t>
      </w:r>
    </w:p>
    <w:p>
      <w:pPr>
        <w:widowControl/>
        <w:spacing w:line="560" w:lineRule="exact"/>
        <w:rPr>
          <w:rFonts w:eastAsia="仿宋_GB2312"/>
          <w:b/>
          <w:bCs/>
          <w:color w:val="000000"/>
          <w:kern w:val="0"/>
          <w:sz w:val="44"/>
          <w:szCs w:val="44"/>
          <w:highlight w:val="none"/>
        </w:rPr>
        <w:sectPr>
          <w:footerReference r:id="rId3" w:type="default"/>
          <w:pgSz w:w="11906" w:h="16838"/>
          <w:pgMar w:top="2098" w:right="1474" w:bottom="850" w:left="1588" w:header="851" w:footer="1021" w:gutter="0"/>
          <w:pgNumType w:start="1"/>
          <w:cols w:space="720" w:num="1"/>
          <w:docGrid w:linePitch="312" w:charSpace="0"/>
        </w:sectPr>
      </w:pPr>
      <w:r>
        <w:rPr>
          <w:rFonts w:hint="eastAsia" w:ascii="仿宋_GB2312" w:eastAsia="仿宋_GB2312"/>
          <w:sz w:val="32"/>
          <w:szCs w:val="32"/>
          <w:highlight w:val="none"/>
        </w:rPr>
        <w:t>我镇行政编制22人，实际在编</w:t>
      </w:r>
      <w:r>
        <w:rPr>
          <w:rFonts w:hint="eastAsia" w:ascii="仿宋_GB2312" w:eastAsia="仿宋_GB2312"/>
          <w:sz w:val="32"/>
          <w:szCs w:val="32"/>
          <w:highlight w:val="none"/>
          <w:lang w:val="en-US" w:eastAsia="zh-CN"/>
        </w:rPr>
        <w:t>19</w:t>
      </w:r>
      <w:r>
        <w:rPr>
          <w:rFonts w:hint="eastAsia" w:ascii="仿宋_GB2312" w:eastAsia="仿宋_GB2312"/>
          <w:sz w:val="32"/>
          <w:szCs w:val="32"/>
          <w:highlight w:val="none"/>
        </w:rPr>
        <w:t>人，事业编制</w:t>
      </w:r>
      <w:r>
        <w:rPr>
          <w:rFonts w:hint="eastAsia" w:ascii="仿宋_GB2312" w:eastAsia="仿宋_GB2312"/>
          <w:sz w:val="32"/>
          <w:szCs w:val="32"/>
          <w:highlight w:val="none"/>
          <w:lang w:val="en-US" w:eastAsia="zh-CN"/>
        </w:rPr>
        <w:t>25</w:t>
      </w:r>
      <w:r>
        <w:rPr>
          <w:rFonts w:hint="eastAsia" w:ascii="仿宋_GB2312" w:eastAsia="仿宋_GB2312"/>
          <w:sz w:val="32"/>
          <w:szCs w:val="32"/>
          <w:highlight w:val="none"/>
        </w:rPr>
        <w:t>人，实际在岗</w:t>
      </w:r>
      <w:r>
        <w:rPr>
          <w:rFonts w:hint="eastAsia" w:ascii="仿宋_GB2312" w:eastAsia="仿宋_GB2312"/>
          <w:sz w:val="32"/>
          <w:szCs w:val="32"/>
          <w:highlight w:val="none"/>
          <w:lang w:val="en-US" w:eastAsia="zh-CN"/>
        </w:rPr>
        <w:t>24</w:t>
      </w:r>
      <w:r>
        <w:rPr>
          <w:rFonts w:hint="eastAsia" w:ascii="仿宋_GB2312" w:eastAsia="仿宋_GB2312"/>
          <w:sz w:val="32"/>
          <w:szCs w:val="32"/>
          <w:highlight w:val="none"/>
        </w:rPr>
        <w:t>人，非在编4人，离退休人员</w:t>
      </w:r>
      <w:r>
        <w:rPr>
          <w:rFonts w:hint="eastAsia" w:ascii="仿宋_GB2312" w:eastAsia="仿宋_GB2312"/>
          <w:sz w:val="32"/>
          <w:szCs w:val="32"/>
          <w:highlight w:val="none"/>
          <w:lang w:val="en-US" w:eastAsia="zh-CN"/>
        </w:rPr>
        <w:t>25</w:t>
      </w:r>
      <w:r>
        <w:rPr>
          <w:rFonts w:hint="eastAsia" w:ascii="仿宋_GB2312" w:eastAsia="仿宋_GB2312"/>
          <w:sz w:val="32"/>
          <w:szCs w:val="32"/>
          <w:highlight w:val="none"/>
        </w:rPr>
        <w:t>人，遗属2人</w:t>
      </w:r>
      <w:r>
        <w:rPr>
          <w:rFonts w:hint="eastAsia" w:ascii="仿宋_GB2312" w:eastAsia="仿宋_GB2312"/>
          <w:sz w:val="32"/>
          <w:szCs w:val="32"/>
          <w:highlight w:val="none"/>
          <w:lang w:eastAsia="zh-CN"/>
        </w:rPr>
        <w:t>，林场移交人员</w:t>
      </w:r>
      <w:r>
        <w:rPr>
          <w:rFonts w:hint="eastAsia" w:ascii="仿宋_GB2312" w:eastAsia="仿宋_GB2312"/>
          <w:sz w:val="32"/>
          <w:szCs w:val="32"/>
          <w:highlight w:val="none"/>
          <w:lang w:val="en-US" w:eastAsia="zh-CN"/>
        </w:rPr>
        <w:t>4人</w:t>
      </w:r>
      <w:r>
        <w:rPr>
          <w:rFonts w:hint="eastAsia" w:ascii="仿宋_GB2312" w:eastAsia="仿宋_GB2312"/>
          <w:sz w:val="32"/>
          <w:szCs w:val="32"/>
          <w:highlight w:val="none"/>
        </w:rPr>
        <w:t>。</w:t>
      </w:r>
    </w:p>
    <w:tbl>
      <w:tblPr>
        <w:tblStyle w:val="9"/>
        <w:tblpPr w:leftFromText="180" w:rightFromText="180" w:vertAnchor="text" w:horzAnchor="margin" w:tblpXSpec="center" w:tblpY="792"/>
        <w:tblOverlap w:val="never"/>
        <w:tblW w:w="13769" w:type="dxa"/>
        <w:tblInd w:w="0" w:type="dxa"/>
        <w:tblLayout w:type="fixed"/>
        <w:tblCellMar>
          <w:top w:w="0" w:type="dxa"/>
          <w:left w:w="108" w:type="dxa"/>
          <w:bottom w:w="0" w:type="dxa"/>
          <w:right w:w="108" w:type="dxa"/>
        </w:tblCellMar>
      </w:tblPr>
      <w:tblGrid>
        <w:gridCol w:w="3938"/>
        <w:gridCol w:w="6"/>
        <w:gridCol w:w="862"/>
        <w:gridCol w:w="6"/>
        <w:gridCol w:w="2162"/>
        <w:gridCol w:w="6"/>
        <w:gridCol w:w="3705"/>
        <w:gridCol w:w="955"/>
        <w:gridCol w:w="2095"/>
        <w:gridCol w:w="34"/>
      </w:tblGrid>
      <w:tr>
        <w:tblPrEx>
          <w:tblCellMar>
            <w:top w:w="0" w:type="dxa"/>
            <w:left w:w="108" w:type="dxa"/>
            <w:bottom w:w="0" w:type="dxa"/>
            <w:right w:w="108" w:type="dxa"/>
          </w:tblCellMar>
        </w:tblPrEx>
        <w:trPr>
          <w:trHeight w:val="243" w:hRule="atLeast"/>
        </w:trPr>
        <w:tc>
          <w:tcPr>
            <w:tcW w:w="13769" w:type="dxa"/>
            <w:gridSpan w:val="10"/>
            <w:tcBorders>
              <w:top w:val="nil"/>
              <w:left w:val="nil"/>
              <w:bottom w:val="nil"/>
              <w:right w:val="nil"/>
            </w:tcBorders>
            <w:vAlign w:val="center"/>
          </w:tcPr>
          <w:p>
            <w:pPr>
              <w:widowControl/>
              <w:jc w:val="center"/>
              <w:rPr>
                <w:b/>
                <w:bCs/>
                <w:color w:val="000000"/>
                <w:kern w:val="0"/>
                <w:sz w:val="32"/>
                <w:szCs w:val="32"/>
              </w:rPr>
            </w:pPr>
            <w:r>
              <w:rPr>
                <w:b/>
                <w:bCs/>
                <w:color w:val="000000"/>
                <w:kern w:val="0"/>
                <w:sz w:val="32"/>
                <w:szCs w:val="32"/>
              </w:rPr>
              <w:t>收入支出决算总表</w:t>
            </w:r>
          </w:p>
        </w:tc>
      </w:tr>
      <w:tr>
        <w:tblPrEx>
          <w:tblCellMar>
            <w:top w:w="0" w:type="dxa"/>
            <w:left w:w="108" w:type="dxa"/>
            <w:bottom w:w="0" w:type="dxa"/>
            <w:right w:w="108" w:type="dxa"/>
          </w:tblCellMar>
        </w:tblPrEx>
        <w:trPr>
          <w:gridAfter w:val="1"/>
          <w:wAfter w:w="34" w:type="dxa"/>
          <w:trHeight w:val="275" w:hRule="exact"/>
        </w:trPr>
        <w:tc>
          <w:tcPr>
            <w:tcW w:w="3944" w:type="dxa"/>
            <w:gridSpan w:val="2"/>
            <w:tcBorders>
              <w:top w:val="nil"/>
              <w:left w:val="nil"/>
              <w:bottom w:val="nil"/>
              <w:right w:val="nil"/>
            </w:tcBorders>
            <w:vAlign w:val="center"/>
          </w:tcPr>
          <w:p>
            <w:pPr>
              <w:widowControl/>
              <w:jc w:val="left"/>
              <w:rPr>
                <w:color w:val="000000"/>
                <w:kern w:val="0"/>
                <w:sz w:val="24"/>
              </w:rPr>
            </w:pPr>
            <w:r>
              <w:rPr>
                <w:color w:val="000000"/>
                <w:kern w:val="0"/>
                <w:sz w:val="24"/>
              </w:rPr>
              <w:t>公开部门：</w:t>
            </w:r>
          </w:p>
        </w:tc>
        <w:tc>
          <w:tcPr>
            <w:tcW w:w="868" w:type="dxa"/>
            <w:gridSpan w:val="2"/>
            <w:tcBorders>
              <w:top w:val="nil"/>
              <w:left w:val="nil"/>
              <w:bottom w:val="nil"/>
              <w:right w:val="nil"/>
            </w:tcBorders>
            <w:vAlign w:val="center"/>
          </w:tcPr>
          <w:p>
            <w:pPr>
              <w:widowControl/>
              <w:jc w:val="left"/>
              <w:rPr>
                <w:color w:val="000000"/>
                <w:kern w:val="0"/>
                <w:sz w:val="20"/>
              </w:rPr>
            </w:pPr>
          </w:p>
        </w:tc>
        <w:tc>
          <w:tcPr>
            <w:tcW w:w="2168" w:type="dxa"/>
            <w:gridSpan w:val="2"/>
            <w:tcBorders>
              <w:top w:val="nil"/>
              <w:left w:val="nil"/>
              <w:bottom w:val="nil"/>
              <w:right w:val="nil"/>
            </w:tcBorders>
            <w:vAlign w:val="center"/>
          </w:tcPr>
          <w:p>
            <w:pPr>
              <w:widowControl/>
              <w:jc w:val="left"/>
              <w:rPr>
                <w:color w:val="000000"/>
                <w:kern w:val="0"/>
                <w:sz w:val="20"/>
              </w:rPr>
            </w:pPr>
          </w:p>
        </w:tc>
        <w:tc>
          <w:tcPr>
            <w:tcW w:w="6755" w:type="dxa"/>
            <w:gridSpan w:val="3"/>
            <w:tcBorders>
              <w:top w:val="nil"/>
              <w:left w:val="nil"/>
              <w:bottom w:val="nil"/>
              <w:right w:val="nil"/>
            </w:tcBorders>
            <w:vAlign w:val="center"/>
          </w:tcPr>
          <w:p>
            <w:pPr>
              <w:widowControl/>
              <w:jc w:val="right"/>
              <w:rPr>
                <w:color w:val="000000"/>
                <w:kern w:val="0"/>
                <w:sz w:val="24"/>
              </w:rPr>
            </w:pPr>
            <w:r>
              <w:rPr>
                <w:color w:val="000000"/>
                <w:kern w:val="0"/>
                <w:sz w:val="24"/>
              </w:rPr>
              <w:t>公开01表</w:t>
            </w:r>
            <w:r>
              <w:rPr>
                <w:rFonts w:hint="eastAsia"/>
                <w:color w:val="000000"/>
                <w:kern w:val="0"/>
                <w:sz w:val="24"/>
              </w:rPr>
              <w:t>（</w:t>
            </w:r>
            <w:r>
              <w:rPr>
                <w:color w:val="000000"/>
                <w:kern w:val="0"/>
                <w:sz w:val="24"/>
              </w:rPr>
              <w:t>金额单位：元</w:t>
            </w:r>
            <w:r>
              <w:rPr>
                <w:rFonts w:hint="eastAsia"/>
                <w:color w:val="000000"/>
                <w:kern w:val="0"/>
                <w:sz w:val="24"/>
              </w:rPr>
              <w:t>）</w:t>
            </w:r>
          </w:p>
        </w:tc>
      </w:tr>
      <w:tr>
        <w:tblPrEx>
          <w:tblCellMar>
            <w:top w:w="0" w:type="dxa"/>
            <w:left w:w="108" w:type="dxa"/>
            <w:bottom w:w="0" w:type="dxa"/>
            <w:right w:w="108" w:type="dxa"/>
          </w:tblCellMar>
        </w:tblPrEx>
        <w:trPr>
          <w:trHeight w:val="275" w:hRule="exact"/>
        </w:trPr>
        <w:tc>
          <w:tcPr>
            <w:tcW w:w="6974" w:type="dxa"/>
            <w:gridSpan w:val="5"/>
            <w:tcBorders>
              <w:top w:val="single" w:color="000000" w:sz="8" w:space="0"/>
              <w:left w:val="single" w:color="000000" w:sz="8" w:space="0"/>
              <w:bottom w:val="single" w:color="000000" w:sz="4" w:space="0"/>
              <w:right w:val="single" w:color="000000" w:sz="4" w:space="0"/>
            </w:tcBorders>
            <w:shd w:val="clear" w:color="auto" w:fill="C0C0C0"/>
            <w:vAlign w:val="center"/>
          </w:tcPr>
          <w:p>
            <w:pPr>
              <w:widowControl/>
              <w:jc w:val="center"/>
              <w:textAlignment w:val="center"/>
              <w:rPr>
                <w:color w:val="000000"/>
                <w:kern w:val="0"/>
                <w:sz w:val="18"/>
                <w:szCs w:val="18"/>
              </w:rPr>
            </w:pPr>
            <w:r>
              <w:rPr>
                <w:color w:val="000000"/>
                <w:kern w:val="0"/>
                <w:sz w:val="22"/>
              </w:rPr>
              <w:t>收入</w:t>
            </w:r>
          </w:p>
        </w:tc>
        <w:tc>
          <w:tcPr>
            <w:tcW w:w="6795" w:type="dxa"/>
            <w:gridSpan w:val="5"/>
            <w:tcBorders>
              <w:top w:val="single" w:color="000000" w:sz="8" w:space="0"/>
              <w:left w:val="nil"/>
              <w:bottom w:val="single" w:color="000000" w:sz="4" w:space="0"/>
              <w:right w:val="single" w:color="000000" w:sz="4" w:space="0"/>
            </w:tcBorders>
            <w:shd w:val="clear" w:color="auto" w:fill="C0C0C0"/>
            <w:vAlign w:val="center"/>
          </w:tcPr>
          <w:p>
            <w:pPr>
              <w:widowControl/>
              <w:jc w:val="center"/>
              <w:textAlignment w:val="center"/>
              <w:rPr>
                <w:color w:val="000000"/>
                <w:kern w:val="0"/>
                <w:sz w:val="18"/>
                <w:szCs w:val="18"/>
              </w:rPr>
            </w:pPr>
            <w:r>
              <w:rPr>
                <w:color w:val="000000"/>
                <w:kern w:val="0"/>
                <w:sz w:val="22"/>
              </w:rPr>
              <w:t>支出</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color w:val="000000"/>
                <w:kern w:val="0"/>
                <w:sz w:val="18"/>
                <w:szCs w:val="18"/>
              </w:rPr>
            </w:pPr>
            <w:r>
              <w:rPr>
                <w:color w:val="000000"/>
                <w:kern w:val="0"/>
                <w:sz w:val="22"/>
              </w:rPr>
              <w:t>项目</w:t>
            </w:r>
          </w:p>
        </w:tc>
        <w:tc>
          <w:tcPr>
            <w:tcW w:w="868" w:type="dxa"/>
            <w:gridSpan w:val="2"/>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color w:val="000000"/>
                <w:kern w:val="0"/>
                <w:sz w:val="22"/>
              </w:rPr>
              <w:t>行次</w:t>
            </w:r>
          </w:p>
        </w:tc>
        <w:tc>
          <w:tcPr>
            <w:tcW w:w="2168"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color w:val="000000"/>
                <w:kern w:val="0"/>
                <w:sz w:val="18"/>
                <w:szCs w:val="18"/>
              </w:rPr>
            </w:pPr>
            <w:r>
              <w:rPr>
                <w:color w:val="000000"/>
                <w:kern w:val="0"/>
                <w:sz w:val="22"/>
              </w:rPr>
              <w:t>金额</w:t>
            </w: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color w:val="000000"/>
                <w:kern w:val="0"/>
                <w:sz w:val="18"/>
                <w:szCs w:val="18"/>
              </w:rPr>
            </w:pPr>
            <w:r>
              <w:rPr>
                <w:color w:val="000000"/>
                <w:kern w:val="0"/>
                <w:sz w:val="22"/>
              </w:rPr>
              <w:t>项目</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color w:val="000000"/>
                <w:kern w:val="0"/>
                <w:sz w:val="22"/>
              </w:rPr>
              <w:t>行次</w:t>
            </w:r>
          </w:p>
        </w:tc>
        <w:tc>
          <w:tcPr>
            <w:tcW w:w="2129"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color w:val="000000"/>
                <w:kern w:val="0"/>
                <w:sz w:val="18"/>
                <w:szCs w:val="18"/>
              </w:rPr>
            </w:pPr>
            <w:r>
              <w:rPr>
                <w:color w:val="000000"/>
                <w:kern w:val="0"/>
                <w:sz w:val="22"/>
              </w:rPr>
              <w:t>金额</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color w:val="000000"/>
                <w:kern w:val="0"/>
                <w:sz w:val="18"/>
                <w:szCs w:val="18"/>
              </w:rPr>
            </w:pPr>
            <w:r>
              <w:rPr>
                <w:color w:val="000000"/>
                <w:kern w:val="0"/>
                <w:sz w:val="22"/>
              </w:rPr>
              <w:t>栏次</w:t>
            </w:r>
          </w:p>
        </w:tc>
        <w:tc>
          <w:tcPr>
            <w:tcW w:w="868" w:type="dxa"/>
            <w:gridSpan w:val="2"/>
            <w:tcBorders>
              <w:top w:val="nil"/>
              <w:left w:val="single" w:color="000000" w:sz="8" w:space="0"/>
              <w:bottom w:val="single" w:color="000000" w:sz="4" w:space="0"/>
              <w:right w:val="single" w:color="000000" w:sz="4" w:space="0"/>
            </w:tcBorders>
            <w:shd w:val="clear" w:color="auto" w:fill="C0C0C0"/>
            <w:vAlign w:val="center"/>
          </w:tcPr>
          <w:p>
            <w:pPr>
              <w:jc w:val="center"/>
            </w:pPr>
          </w:p>
        </w:tc>
        <w:tc>
          <w:tcPr>
            <w:tcW w:w="2168"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color w:val="000000"/>
                <w:kern w:val="0"/>
                <w:sz w:val="18"/>
                <w:szCs w:val="18"/>
              </w:rPr>
            </w:pPr>
            <w:r>
              <w:rPr>
                <w:color w:val="000000"/>
                <w:kern w:val="0"/>
                <w:sz w:val="22"/>
              </w:rPr>
              <w:t>1</w:t>
            </w: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color w:val="000000"/>
                <w:kern w:val="0"/>
                <w:sz w:val="18"/>
                <w:szCs w:val="18"/>
              </w:rPr>
            </w:pPr>
            <w:r>
              <w:rPr>
                <w:color w:val="000000"/>
                <w:kern w:val="0"/>
                <w:sz w:val="22"/>
              </w:rPr>
              <w:t>栏次</w:t>
            </w:r>
          </w:p>
        </w:tc>
        <w:tc>
          <w:tcPr>
            <w:tcW w:w="955" w:type="dxa"/>
            <w:tcBorders>
              <w:top w:val="nil"/>
              <w:left w:val="nil"/>
              <w:bottom w:val="single" w:color="000000" w:sz="4" w:space="0"/>
              <w:right w:val="single" w:color="000000" w:sz="4" w:space="0"/>
            </w:tcBorders>
            <w:shd w:val="clear" w:color="auto" w:fill="C0C0C0"/>
            <w:vAlign w:val="center"/>
          </w:tcPr>
          <w:p>
            <w:pPr>
              <w:jc w:val="center"/>
            </w:pPr>
          </w:p>
        </w:tc>
        <w:tc>
          <w:tcPr>
            <w:tcW w:w="2129"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color w:val="000000"/>
                <w:kern w:val="0"/>
                <w:sz w:val="18"/>
                <w:szCs w:val="18"/>
              </w:rPr>
            </w:pPr>
            <w:r>
              <w:rPr>
                <w:color w:val="000000"/>
                <w:kern w:val="0"/>
                <w:sz w:val="22"/>
              </w:rPr>
              <w:t>2</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一、一般公共预算财政拨款收入</w:t>
            </w:r>
          </w:p>
        </w:tc>
        <w:tc>
          <w:tcPr>
            <w:tcW w:w="868" w:type="dxa"/>
            <w:gridSpan w:val="2"/>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1</w:t>
            </w:r>
          </w:p>
        </w:tc>
        <w:tc>
          <w:tcPr>
            <w:tcW w:w="2168"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8"/>
                <w:szCs w:val="18"/>
              </w:rPr>
            </w:pPr>
            <w:r>
              <w:rPr>
                <w:rFonts w:hint="eastAsia" w:ascii="宋体" w:hAnsi="宋体" w:cs="宋体"/>
                <w:color w:val="000000"/>
                <w:kern w:val="0"/>
                <w:sz w:val="22"/>
                <w:szCs w:val="22"/>
              </w:rPr>
              <w:t>247,117,861.84</w:t>
            </w: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一、一般公共服务支出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31</w:t>
            </w:r>
          </w:p>
        </w:tc>
        <w:tc>
          <w:tcPr>
            <w:tcW w:w="2129" w:type="dxa"/>
            <w:gridSpan w:val="2"/>
            <w:tcBorders>
              <w:top w:val="nil"/>
              <w:left w:val="nil"/>
              <w:bottom w:val="single" w:color="000000" w:sz="4" w:space="0"/>
              <w:right w:val="single" w:color="000000" w:sz="4" w:space="0"/>
            </w:tcBorders>
            <w:vAlign w:val="center"/>
          </w:tcPr>
          <w:p>
            <w:pPr>
              <w:widowControl/>
              <w:jc w:val="right"/>
              <w:textAlignment w:val="center"/>
              <w:rPr>
                <w:color w:val="000000"/>
                <w:kern w:val="0"/>
                <w:sz w:val="18"/>
                <w:szCs w:val="18"/>
              </w:rPr>
            </w:pPr>
            <w:r>
              <w:rPr>
                <w:rFonts w:hint="eastAsia" w:ascii="宋体" w:hAnsi="宋体" w:cs="宋体"/>
                <w:color w:val="000000"/>
                <w:kern w:val="0"/>
                <w:sz w:val="22"/>
                <w:szCs w:val="22"/>
              </w:rPr>
              <w:t>233,351,344.24</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二、政府性基金预算财政拨款收入</w:t>
            </w:r>
          </w:p>
        </w:tc>
        <w:tc>
          <w:tcPr>
            <w:tcW w:w="868" w:type="dxa"/>
            <w:gridSpan w:val="2"/>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2</w:t>
            </w:r>
          </w:p>
        </w:tc>
        <w:tc>
          <w:tcPr>
            <w:tcW w:w="2168"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8"/>
                <w:szCs w:val="18"/>
              </w:rPr>
            </w:pPr>
            <w:r>
              <w:rPr>
                <w:color w:val="000000"/>
                <w:kern w:val="0"/>
                <w:sz w:val="18"/>
                <w:szCs w:val="18"/>
              </w:rPr>
              <w:t>0.00</w:t>
            </w: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二、外交支出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32</w:t>
            </w:r>
          </w:p>
        </w:tc>
        <w:tc>
          <w:tcPr>
            <w:tcW w:w="2129" w:type="dxa"/>
            <w:gridSpan w:val="2"/>
            <w:tcBorders>
              <w:top w:val="nil"/>
              <w:left w:val="nil"/>
              <w:bottom w:val="single" w:color="000000" w:sz="4" w:space="0"/>
              <w:right w:val="single" w:color="000000" w:sz="4" w:space="0"/>
            </w:tcBorders>
            <w:vAlign w:val="center"/>
          </w:tcPr>
          <w:p>
            <w:pPr>
              <w:widowControl/>
              <w:jc w:val="right"/>
              <w:textAlignment w:val="center"/>
              <w:rPr>
                <w:color w:val="000000"/>
                <w:kern w:val="0"/>
                <w:sz w:val="18"/>
                <w:szCs w:val="18"/>
              </w:rPr>
            </w:pPr>
            <w:r>
              <w:rPr>
                <w:color w:val="000000"/>
                <w:kern w:val="0"/>
                <w:sz w:val="18"/>
                <w:szCs w:val="18"/>
              </w:rPr>
              <w:t>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三、国有资本经营预算财政拨款收入</w:t>
            </w:r>
          </w:p>
        </w:tc>
        <w:tc>
          <w:tcPr>
            <w:tcW w:w="868" w:type="dxa"/>
            <w:gridSpan w:val="2"/>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3</w:t>
            </w:r>
          </w:p>
        </w:tc>
        <w:tc>
          <w:tcPr>
            <w:tcW w:w="2168"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8"/>
                <w:szCs w:val="18"/>
              </w:rPr>
            </w:pPr>
            <w:r>
              <w:rPr>
                <w:color w:val="000000"/>
                <w:kern w:val="0"/>
                <w:sz w:val="18"/>
                <w:szCs w:val="18"/>
              </w:rPr>
              <w:t>0.00</w:t>
            </w: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三、国防支出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33</w:t>
            </w:r>
          </w:p>
        </w:tc>
        <w:tc>
          <w:tcPr>
            <w:tcW w:w="2129" w:type="dxa"/>
            <w:gridSpan w:val="2"/>
            <w:tcBorders>
              <w:top w:val="nil"/>
              <w:left w:val="nil"/>
              <w:bottom w:val="single" w:color="000000" w:sz="4" w:space="0"/>
              <w:right w:val="single" w:color="000000" w:sz="4" w:space="0"/>
            </w:tcBorders>
            <w:vAlign w:val="center"/>
          </w:tcPr>
          <w:p>
            <w:pPr>
              <w:widowControl/>
              <w:jc w:val="right"/>
              <w:textAlignment w:val="center"/>
              <w:rPr>
                <w:color w:val="000000"/>
                <w:kern w:val="0"/>
                <w:sz w:val="18"/>
                <w:szCs w:val="18"/>
              </w:rPr>
            </w:pPr>
            <w:r>
              <w:rPr>
                <w:color w:val="000000"/>
                <w:kern w:val="0"/>
                <w:sz w:val="18"/>
                <w:szCs w:val="18"/>
              </w:rPr>
              <w:t>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四、上级补助收入</w:t>
            </w:r>
          </w:p>
        </w:tc>
        <w:tc>
          <w:tcPr>
            <w:tcW w:w="868" w:type="dxa"/>
            <w:gridSpan w:val="2"/>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4</w:t>
            </w:r>
          </w:p>
        </w:tc>
        <w:tc>
          <w:tcPr>
            <w:tcW w:w="2168"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8"/>
                <w:szCs w:val="18"/>
              </w:rPr>
            </w:pPr>
            <w:r>
              <w:rPr>
                <w:color w:val="000000"/>
                <w:kern w:val="0"/>
                <w:sz w:val="18"/>
                <w:szCs w:val="18"/>
              </w:rPr>
              <w:t>0.00</w:t>
            </w: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四、公共安全支出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34</w:t>
            </w:r>
          </w:p>
        </w:tc>
        <w:tc>
          <w:tcPr>
            <w:tcW w:w="2129" w:type="dxa"/>
            <w:gridSpan w:val="2"/>
            <w:tcBorders>
              <w:top w:val="nil"/>
              <w:left w:val="nil"/>
              <w:bottom w:val="single" w:color="000000" w:sz="4" w:space="0"/>
              <w:right w:val="single" w:color="000000" w:sz="4" w:space="0"/>
            </w:tcBorders>
            <w:vAlign w:val="center"/>
          </w:tcPr>
          <w:p>
            <w:pPr>
              <w:widowControl/>
              <w:jc w:val="right"/>
              <w:textAlignment w:val="center"/>
              <w:rPr>
                <w:color w:val="000000"/>
                <w:kern w:val="0"/>
                <w:sz w:val="18"/>
                <w:szCs w:val="18"/>
              </w:rPr>
            </w:pPr>
            <w:r>
              <w:rPr>
                <w:color w:val="000000"/>
                <w:kern w:val="0"/>
                <w:sz w:val="18"/>
                <w:szCs w:val="18"/>
              </w:rPr>
              <w:t>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五、事业收入</w:t>
            </w:r>
          </w:p>
        </w:tc>
        <w:tc>
          <w:tcPr>
            <w:tcW w:w="868" w:type="dxa"/>
            <w:gridSpan w:val="2"/>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5</w:t>
            </w:r>
          </w:p>
        </w:tc>
        <w:tc>
          <w:tcPr>
            <w:tcW w:w="2168"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8"/>
                <w:szCs w:val="18"/>
              </w:rPr>
            </w:pPr>
            <w:r>
              <w:rPr>
                <w:color w:val="000000"/>
                <w:kern w:val="0"/>
                <w:sz w:val="18"/>
                <w:szCs w:val="18"/>
              </w:rPr>
              <w:t>0.00</w:t>
            </w: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五、教育支出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35</w:t>
            </w:r>
          </w:p>
        </w:tc>
        <w:tc>
          <w:tcPr>
            <w:tcW w:w="2129" w:type="dxa"/>
            <w:gridSpan w:val="2"/>
            <w:tcBorders>
              <w:top w:val="nil"/>
              <w:left w:val="nil"/>
              <w:bottom w:val="single" w:color="000000" w:sz="4" w:space="0"/>
              <w:right w:val="single" w:color="000000" w:sz="4" w:space="0"/>
            </w:tcBorders>
            <w:vAlign w:val="center"/>
          </w:tcPr>
          <w:p>
            <w:pPr>
              <w:widowControl/>
              <w:jc w:val="right"/>
              <w:textAlignment w:val="center"/>
              <w:rPr>
                <w:color w:val="000000"/>
                <w:kern w:val="0"/>
                <w:sz w:val="18"/>
                <w:szCs w:val="18"/>
              </w:rPr>
            </w:pPr>
            <w:r>
              <w:rPr>
                <w:color w:val="000000"/>
                <w:kern w:val="0"/>
                <w:sz w:val="18"/>
                <w:szCs w:val="18"/>
              </w:rPr>
              <w:t>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六、经营收入</w:t>
            </w:r>
          </w:p>
        </w:tc>
        <w:tc>
          <w:tcPr>
            <w:tcW w:w="868" w:type="dxa"/>
            <w:gridSpan w:val="2"/>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6</w:t>
            </w:r>
          </w:p>
        </w:tc>
        <w:tc>
          <w:tcPr>
            <w:tcW w:w="2168"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8"/>
                <w:szCs w:val="18"/>
              </w:rPr>
            </w:pPr>
            <w:r>
              <w:rPr>
                <w:color w:val="000000"/>
                <w:kern w:val="0"/>
                <w:sz w:val="18"/>
                <w:szCs w:val="18"/>
              </w:rPr>
              <w:t>0.00</w:t>
            </w: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六、科学技术支出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36</w:t>
            </w:r>
          </w:p>
        </w:tc>
        <w:tc>
          <w:tcPr>
            <w:tcW w:w="2129" w:type="dxa"/>
            <w:gridSpan w:val="2"/>
            <w:tcBorders>
              <w:top w:val="nil"/>
              <w:left w:val="nil"/>
              <w:bottom w:val="single" w:color="000000" w:sz="4" w:space="0"/>
              <w:right w:val="single" w:color="000000" w:sz="4" w:space="0"/>
            </w:tcBorders>
            <w:vAlign w:val="center"/>
          </w:tcPr>
          <w:p>
            <w:pPr>
              <w:widowControl/>
              <w:jc w:val="right"/>
              <w:textAlignment w:val="center"/>
              <w:rPr>
                <w:color w:val="000000"/>
                <w:kern w:val="0"/>
                <w:sz w:val="18"/>
                <w:szCs w:val="18"/>
              </w:rPr>
            </w:pPr>
            <w:r>
              <w:rPr>
                <w:color w:val="000000"/>
                <w:kern w:val="0"/>
                <w:sz w:val="18"/>
                <w:szCs w:val="18"/>
              </w:rPr>
              <w:t>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七、附属单位上缴收入</w:t>
            </w:r>
          </w:p>
        </w:tc>
        <w:tc>
          <w:tcPr>
            <w:tcW w:w="868" w:type="dxa"/>
            <w:gridSpan w:val="2"/>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7</w:t>
            </w:r>
          </w:p>
        </w:tc>
        <w:tc>
          <w:tcPr>
            <w:tcW w:w="2168"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8"/>
                <w:szCs w:val="18"/>
              </w:rPr>
            </w:pPr>
            <w:r>
              <w:rPr>
                <w:color w:val="000000"/>
                <w:kern w:val="0"/>
                <w:sz w:val="18"/>
                <w:szCs w:val="18"/>
              </w:rPr>
              <w:t>0.00</w:t>
            </w: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七、文化旅游体育与传媒支出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37</w:t>
            </w:r>
          </w:p>
        </w:tc>
        <w:tc>
          <w:tcPr>
            <w:tcW w:w="2129" w:type="dxa"/>
            <w:gridSpan w:val="2"/>
            <w:tcBorders>
              <w:top w:val="nil"/>
              <w:left w:val="nil"/>
              <w:bottom w:val="single" w:color="000000" w:sz="4" w:space="0"/>
              <w:right w:val="single" w:color="000000" w:sz="4" w:space="0"/>
            </w:tcBorders>
            <w:vAlign w:val="center"/>
          </w:tcPr>
          <w:p>
            <w:pPr>
              <w:widowControl/>
              <w:jc w:val="right"/>
              <w:textAlignment w:val="center"/>
              <w:rPr>
                <w:color w:val="000000"/>
                <w:kern w:val="0"/>
                <w:sz w:val="18"/>
                <w:szCs w:val="18"/>
              </w:rPr>
            </w:pPr>
            <w:r>
              <w:rPr>
                <w:color w:val="000000"/>
                <w:kern w:val="0"/>
                <w:sz w:val="18"/>
                <w:szCs w:val="18"/>
              </w:rPr>
              <w:t>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八、其他收入</w:t>
            </w:r>
          </w:p>
        </w:tc>
        <w:tc>
          <w:tcPr>
            <w:tcW w:w="868" w:type="dxa"/>
            <w:gridSpan w:val="2"/>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8</w:t>
            </w:r>
          </w:p>
        </w:tc>
        <w:tc>
          <w:tcPr>
            <w:tcW w:w="2168"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8"/>
                <w:szCs w:val="18"/>
              </w:rPr>
            </w:pPr>
            <w:r>
              <w:rPr>
                <w:rFonts w:hint="eastAsia" w:ascii="宋体" w:hAnsi="宋体" w:cs="宋体"/>
                <w:color w:val="000000"/>
                <w:kern w:val="0"/>
                <w:sz w:val="22"/>
                <w:szCs w:val="22"/>
              </w:rPr>
              <w:t>44,029,638.90</w:t>
            </w: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八、社会保障和就业支出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38</w:t>
            </w:r>
          </w:p>
        </w:tc>
        <w:tc>
          <w:tcPr>
            <w:tcW w:w="2129" w:type="dxa"/>
            <w:gridSpan w:val="2"/>
            <w:tcBorders>
              <w:top w:val="nil"/>
              <w:left w:val="nil"/>
              <w:bottom w:val="single" w:color="000000" w:sz="4" w:space="0"/>
              <w:right w:val="single" w:color="000000" w:sz="4" w:space="0"/>
            </w:tcBorders>
            <w:vAlign w:val="center"/>
          </w:tcPr>
          <w:p>
            <w:pPr>
              <w:widowControl/>
              <w:jc w:val="right"/>
              <w:textAlignment w:val="center"/>
              <w:rPr>
                <w:color w:val="000000"/>
                <w:kern w:val="0"/>
                <w:sz w:val="18"/>
                <w:szCs w:val="18"/>
              </w:rPr>
            </w:pPr>
            <w:r>
              <w:rPr>
                <w:rFonts w:hint="eastAsia" w:ascii="宋体" w:hAnsi="宋体" w:cs="宋体"/>
                <w:color w:val="000000"/>
                <w:kern w:val="0"/>
                <w:sz w:val="22"/>
                <w:szCs w:val="22"/>
              </w:rPr>
              <w:t>2,308,273.35</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8"/>
                <w:szCs w:val="18"/>
              </w:rPr>
            </w:pPr>
          </w:p>
        </w:tc>
        <w:tc>
          <w:tcPr>
            <w:tcW w:w="868" w:type="dxa"/>
            <w:gridSpan w:val="2"/>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9</w:t>
            </w:r>
          </w:p>
        </w:tc>
        <w:tc>
          <w:tcPr>
            <w:tcW w:w="2168" w:type="dxa"/>
            <w:gridSpan w:val="2"/>
            <w:tcBorders>
              <w:top w:val="nil"/>
              <w:left w:val="nil"/>
              <w:bottom w:val="single" w:color="000000" w:sz="4" w:space="0"/>
              <w:right w:val="single" w:color="000000" w:sz="4" w:space="0"/>
            </w:tcBorders>
            <w:shd w:val="clear" w:color="auto" w:fill="auto"/>
            <w:vAlign w:val="center"/>
          </w:tcPr>
          <w:p>
            <w:pPr>
              <w:jc w:val="right"/>
              <w:rPr>
                <w:color w:val="000000"/>
                <w:kern w:val="0"/>
                <w:sz w:val="18"/>
                <w:szCs w:val="18"/>
              </w:rPr>
            </w:pP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九、卫生健康支出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39</w:t>
            </w:r>
          </w:p>
        </w:tc>
        <w:tc>
          <w:tcPr>
            <w:tcW w:w="2129" w:type="dxa"/>
            <w:gridSpan w:val="2"/>
            <w:tcBorders>
              <w:top w:val="nil"/>
              <w:left w:val="nil"/>
              <w:bottom w:val="single" w:color="000000" w:sz="4" w:space="0"/>
              <w:right w:val="single" w:color="000000" w:sz="4" w:space="0"/>
            </w:tcBorders>
            <w:vAlign w:val="center"/>
          </w:tcPr>
          <w:p>
            <w:pPr>
              <w:widowControl/>
              <w:jc w:val="right"/>
              <w:textAlignment w:val="center"/>
              <w:rPr>
                <w:color w:val="000000"/>
                <w:kern w:val="0"/>
                <w:sz w:val="18"/>
                <w:szCs w:val="18"/>
              </w:rPr>
            </w:pPr>
            <w:r>
              <w:rPr>
                <w:rFonts w:hint="eastAsia" w:ascii="宋体" w:hAnsi="宋体" w:cs="宋体"/>
                <w:color w:val="000000"/>
                <w:kern w:val="0"/>
                <w:sz w:val="22"/>
                <w:szCs w:val="22"/>
              </w:rPr>
              <w:t>1,608,434.10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8"/>
                <w:szCs w:val="18"/>
              </w:rPr>
            </w:pPr>
          </w:p>
        </w:tc>
        <w:tc>
          <w:tcPr>
            <w:tcW w:w="868" w:type="dxa"/>
            <w:gridSpan w:val="2"/>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10</w:t>
            </w:r>
          </w:p>
        </w:tc>
        <w:tc>
          <w:tcPr>
            <w:tcW w:w="2168" w:type="dxa"/>
            <w:gridSpan w:val="2"/>
            <w:tcBorders>
              <w:top w:val="nil"/>
              <w:left w:val="nil"/>
              <w:bottom w:val="single" w:color="000000" w:sz="4" w:space="0"/>
              <w:right w:val="single" w:color="000000" w:sz="4" w:space="0"/>
            </w:tcBorders>
            <w:shd w:val="clear" w:color="auto" w:fill="auto"/>
            <w:vAlign w:val="center"/>
          </w:tcPr>
          <w:p>
            <w:pPr>
              <w:jc w:val="right"/>
              <w:rPr>
                <w:color w:val="000000"/>
                <w:kern w:val="0"/>
                <w:sz w:val="18"/>
                <w:szCs w:val="18"/>
              </w:rPr>
            </w:pP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十、节能环保支出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40</w:t>
            </w:r>
          </w:p>
        </w:tc>
        <w:tc>
          <w:tcPr>
            <w:tcW w:w="2129" w:type="dxa"/>
            <w:gridSpan w:val="2"/>
            <w:tcBorders>
              <w:top w:val="nil"/>
              <w:left w:val="nil"/>
              <w:bottom w:val="single" w:color="000000" w:sz="4" w:space="0"/>
              <w:right w:val="single" w:color="000000" w:sz="4" w:space="0"/>
            </w:tcBorders>
            <w:vAlign w:val="center"/>
          </w:tcPr>
          <w:tbl>
            <w:tblPr>
              <w:tblStyle w:val="9"/>
              <w:tblW w:w="1801" w:type="dxa"/>
              <w:tblInd w:w="0" w:type="dxa"/>
              <w:tblLayout w:type="fixed"/>
              <w:tblCellMar>
                <w:top w:w="0" w:type="dxa"/>
                <w:left w:w="0" w:type="dxa"/>
                <w:bottom w:w="0" w:type="dxa"/>
                <w:right w:w="0" w:type="dxa"/>
              </w:tblCellMar>
            </w:tblPr>
            <w:tblGrid>
              <w:gridCol w:w="1801"/>
            </w:tblGrid>
            <w:tr>
              <w:tblPrEx>
                <w:tblCellMar>
                  <w:top w:w="0" w:type="dxa"/>
                  <w:left w:w="0" w:type="dxa"/>
                  <w:bottom w:w="0" w:type="dxa"/>
                  <w:right w:w="0" w:type="dxa"/>
                </w:tblCellMar>
              </w:tblPrEx>
              <w:trPr>
                <w:trHeight w:val="308" w:hRule="atLeast"/>
              </w:trPr>
              <w:tc>
                <w:tcPr>
                  <w:tcW w:w="18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11,363,776.00</w:t>
                  </w:r>
                </w:p>
              </w:tc>
            </w:tr>
          </w:tbl>
          <w:p>
            <w:pPr>
              <w:widowControl/>
              <w:jc w:val="right"/>
              <w:textAlignment w:val="center"/>
              <w:rPr>
                <w:color w:val="000000"/>
                <w:kern w:val="0"/>
                <w:sz w:val="18"/>
                <w:szCs w:val="18"/>
              </w:rPr>
            </w:pP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8"/>
                <w:szCs w:val="18"/>
              </w:rPr>
            </w:pPr>
          </w:p>
        </w:tc>
        <w:tc>
          <w:tcPr>
            <w:tcW w:w="868" w:type="dxa"/>
            <w:gridSpan w:val="2"/>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11</w:t>
            </w:r>
          </w:p>
        </w:tc>
        <w:tc>
          <w:tcPr>
            <w:tcW w:w="2168" w:type="dxa"/>
            <w:gridSpan w:val="2"/>
            <w:tcBorders>
              <w:top w:val="nil"/>
              <w:left w:val="nil"/>
              <w:bottom w:val="single" w:color="000000" w:sz="4" w:space="0"/>
              <w:right w:val="single" w:color="000000" w:sz="4" w:space="0"/>
            </w:tcBorders>
            <w:shd w:val="clear" w:color="auto" w:fill="auto"/>
            <w:vAlign w:val="center"/>
          </w:tcPr>
          <w:p>
            <w:pPr>
              <w:jc w:val="right"/>
              <w:rPr>
                <w:color w:val="000000"/>
                <w:kern w:val="0"/>
                <w:sz w:val="18"/>
                <w:szCs w:val="18"/>
              </w:rPr>
            </w:pP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十一、城乡社区支出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41</w:t>
            </w:r>
          </w:p>
        </w:tc>
        <w:tc>
          <w:tcPr>
            <w:tcW w:w="2129" w:type="dxa"/>
            <w:gridSpan w:val="2"/>
            <w:tcBorders>
              <w:top w:val="nil"/>
              <w:left w:val="nil"/>
              <w:bottom w:val="single" w:color="000000" w:sz="4" w:space="0"/>
              <w:right w:val="single" w:color="000000" w:sz="4" w:space="0"/>
            </w:tcBorders>
            <w:vAlign w:val="center"/>
          </w:tcPr>
          <w:p>
            <w:pPr>
              <w:widowControl/>
              <w:jc w:val="right"/>
              <w:textAlignment w:val="center"/>
              <w:rPr>
                <w:color w:val="000000"/>
                <w:kern w:val="0"/>
                <w:sz w:val="18"/>
                <w:szCs w:val="18"/>
              </w:rPr>
            </w:pPr>
            <w:r>
              <w:rPr>
                <w:rFonts w:hint="eastAsia" w:ascii="宋体" w:hAnsi="宋体" w:cs="宋体"/>
                <w:color w:val="000000"/>
                <w:kern w:val="0"/>
                <w:sz w:val="22"/>
                <w:szCs w:val="22"/>
              </w:rPr>
              <w:t>895,734.00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8"/>
                <w:szCs w:val="18"/>
              </w:rPr>
            </w:pPr>
          </w:p>
        </w:tc>
        <w:tc>
          <w:tcPr>
            <w:tcW w:w="868" w:type="dxa"/>
            <w:gridSpan w:val="2"/>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12</w:t>
            </w:r>
          </w:p>
        </w:tc>
        <w:tc>
          <w:tcPr>
            <w:tcW w:w="2168" w:type="dxa"/>
            <w:gridSpan w:val="2"/>
            <w:tcBorders>
              <w:top w:val="nil"/>
              <w:left w:val="nil"/>
              <w:bottom w:val="single" w:color="000000" w:sz="4" w:space="0"/>
              <w:right w:val="single" w:color="000000" w:sz="4" w:space="0"/>
            </w:tcBorders>
            <w:shd w:val="clear" w:color="auto" w:fill="auto"/>
            <w:vAlign w:val="center"/>
          </w:tcPr>
          <w:p>
            <w:pPr>
              <w:jc w:val="right"/>
              <w:rPr>
                <w:color w:val="000000"/>
                <w:kern w:val="0"/>
                <w:sz w:val="18"/>
                <w:szCs w:val="18"/>
              </w:rPr>
            </w:pP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十二、农林水支出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42</w:t>
            </w:r>
          </w:p>
        </w:tc>
        <w:tc>
          <w:tcPr>
            <w:tcW w:w="2129" w:type="dxa"/>
            <w:gridSpan w:val="2"/>
            <w:tcBorders>
              <w:top w:val="nil"/>
              <w:left w:val="nil"/>
              <w:bottom w:val="single" w:color="000000" w:sz="4" w:space="0"/>
              <w:right w:val="single" w:color="000000" w:sz="4" w:space="0"/>
            </w:tcBorders>
            <w:vAlign w:val="center"/>
          </w:tcPr>
          <w:p>
            <w:pPr>
              <w:widowControl/>
              <w:jc w:val="right"/>
              <w:textAlignment w:val="center"/>
              <w:rPr>
                <w:color w:val="000000"/>
                <w:kern w:val="0"/>
                <w:sz w:val="18"/>
                <w:szCs w:val="18"/>
              </w:rPr>
            </w:pPr>
            <w:r>
              <w:rPr>
                <w:rFonts w:hint="eastAsia" w:ascii="宋体" w:hAnsi="宋体" w:cs="宋体"/>
                <w:color w:val="000000"/>
                <w:kern w:val="0"/>
                <w:sz w:val="22"/>
                <w:szCs w:val="22"/>
              </w:rPr>
              <w:t>42,178,348.01</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8"/>
                <w:szCs w:val="18"/>
              </w:rPr>
            </w:pPr>
          </w:p>
        </w:tc>
        <w:tc>
          <w:tcPr>
            <w:tcW w:w="868" w:type="dxa"/>
            <w:gridSpan w:val="2"/>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13</w:t>
            </w:r>
          </w:p>
        </w:tc>
        <w:tc>
          <w:tcPr>
            <w:tcW w:w="2168" w:type="dxa"/>
            <w:gridSpan w:val="2"/>
            <w:tcBorders>
              <w:top w:val="nil"/>
              <w:left w:val="nil"/>
              <w:bottom w:val="single" w:color="000000" w:sz="4" w:space="0"/>
              <w:right w:val="single" w:color="000000" w:sz="4" w:space="0"/>
            </w:tcBorders>
            <w:shd w:val="clear" w:color="auto" w:fill="auto"/>
            <w:vAlign w:val="center"/>
          </w:tcPr>
          <w:p>
            <w:pPr>
              <w:jc w:val="right"/>
              <w:rPr>
                <w:color w:val="000000"/>
                <w:kern w:val="0"/>
                <w:sz w:val="18"/>
                <w:szCs w:val="18"/>
              </w:rPr>
            </w:pP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十三、交通运输支出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43</w:t>
            </w:r>
          </w:p>
        </w:tc>
        <w:tc>
          <w:tcPr>
            <w:tcW w:w="2129" w:type="dxa"/>
            <w:gridSpan w:val="2"/>
            <w:tcBorders>
              <w:top w:val="nil"/>
              <w:left w:val="nil"/>
              <w:bottom w:val="single" w:color="000000" w:sz="4" w:space="0"/>
              <w:right w:val="single" w:color="000000" w:sz="4" w:space="0"/>
            </w:tcBorders>
            <w:vAlign w:val="center"/>
          </w:tcPr>
          <w:p>
            <w:pPr>
              <w:widowControl/>
              <w:jc w:val="right"/>
              <w:textAlignment w:val="center"/>
              <w:rPr>
                <w:color w:val="000000"/>
                <w:kern w:val="0"/>
                <w:sz w:val="18"/>
                <w:szCs w:val="18"/>
              </w:rPr>
            </w:pPr>
            <w:r>
              <w:rPr>
                <w:color w:val="000000"/>
                <w:kern w:val="0"/>
                <w:sz w:val="18"/>
                <w:szCs w:val="18"/>
              </w:rPr>
              <w:t>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8"/>
                <w:szCs w:val="18"/>
              </w:rPr>
            </w:pPr>
          </w:p>
        </w:tc>
        <w:tc>
          <w:tcPr>
            <w:tcW w:w="868" w:type="dxa"/>
            <w:gridSpan w:val="2"/>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14</w:t>
            </w:r>
          </w:p>
        </w:tc>
        <w:tc>
          <w:tcPr>
            <w:tcW w:w="2168" w:type="dxa"/>
            <w:gridSpan w:val="2"/>
            <w:tcBorders>
              <w:top w:val="nil"/>
              <w:left w:val="nil"/>
              <w:bottom w:val="single" w:color="000000" w:sz="4" w:space="0"/>
              <w:right w:val="single" w:color="000000" w:sz="4" w:space="0"/>
            </w:tcBorders>
            <w:shd w:val="clear" w:color="auto" w:fill="auto"/>
            <w:vAlign w:val="center"/>
          </w:tcPr>
          <w:p>
            <w:pPr>
              <w:jc w:val="right"/>
              <w:rPr>
                <w:color w:val="000000"/>
                <w:kern w:val="0"/>
                <w:sz w:val="18"/>
                <w:szCs w:val="18"/>
              </w:rPr>
            </w:pP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十四、资源勘探工业信息等支出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44</w:t>
            </w:r>
          </w:p>
        </w:tc>
        <w:tc>
          <w:tcPr>
            <w:tcW w:w="2129" w:type="dxa"/>
            <w:gridSpan w:val="2"/>
            <w:tcBorders>
              <w:top w:val="nil"/>
              <w:left w:val="nil"/>
              <w:bottom w:val="single" w:color="000000" w:sz="4" w:space="0"/>
              <w:right w:val="single" w:color="000000" w:sz="4" w:space="0"/>
            </w:tcBorders>
            <w:vAlign w:val="center"/>
          </w:tcPr>
          <w:p>
            <w:pPr>
              <w:widowControl/>
              <w:jc w:val="right"/>
              <w:textAlignment w:val="center"/>
              <w:rPr>
                <w:color w:val="000000"/>
                <w:kern w:val="0"/>
                <w:sz w:val="18"/>
                <w:szCs w:val="18"/>
              </w:rPr>
            </w:pPr>
            <w:r>
              <w:rPr>
                <w:color w:val="000000"/>
                <w:kern w:val="0"/>
                <w:sz w:val="18"/>
                <w:szCs w:val="18"/>
              </w:rPr>
              <w:t>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8"/>
                <w:szCs w:val="18"/>
              </w:rPr>
            </w:pPr>
          </w:p>
        </w:tc>
        <w:tc>
          <w:tcPr>
            <w:tcW w:w="868" w:type="dxa"/>
            <w:gridSpan w:val="2"/>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15</w:t>
            </w:r>
          </w:p>
        </w:tc>
        <w:tc>
          <w:tcPr>
            <w:tcW w:w="2168" w:type="dxa"/>
            <w:gridSpan w:val="2"/>
            <w:tcBorders>
              <w:top w:val="nil"/>
              <w:left w:val="nil"/>
              <w:bottom w:val="single" w:color="000000" w:sz="4" w:space="0"/>
              <w:right w:val="single" w:color="000000" w:sz="4" w:space="0"/>
            </w:tcBorders>
            <w:shd w:val="clear" w:color="auto" w:fill="auto"/>
            <w:vAlign w:val="center"/>
          </w:tcPr>
          <w:p>
            <w:pPr>
              <w:jc w:val="right"/>
              <w:rPr>
                <w:color w:val="000000"/>
                <w:kern w:val="0"/>
                <w:sz w:val="18"/>
                <w:szCs w:val="18"/>
              </w:rPr>
            </w:pP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十五、商业服务业等支出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45</w:t>
            </w:r>
          </w:p>
        </w:tc>
        <w:tc>
          <w:tcPr>
            <w:tcW w:w="2129" w:type="dxa"/>
            <w:gridSpan w:val="2"/>
            <w:tcBorders>
              <w:top w:val="nil"/>
              <w:left w:val="nil"/>
              <w:bottom w:val="single" w:color="000000" w:sz="4" w:space="0"/>
              <w:right w:val="single" w:color="000000" w:sz="4" w:space="0"/>
            </w:tcBorders>
            <w:vAlign w:val="center"/>
          </w:tcPr>
          <w:p>
            <w:pPr>
              <w:widowControl/>
              <w:jc w:val="right"/>
              <w:textAlignment w:val="center"/>
              <w:rPr>
                <w:color w:val="000000"/>
                <w:kern w:val="0"/>
                <w:sz w:val="18"/>
                <w:szCs w:val="18"/>
              </w:rPr>
            </w:pPr>
            <w:r>
              <w:rPr>
                <w:color w:val="000000"/>
                <w:kern w:val="0"/>
                <w:sz w:val="18"/>
                <w:szCs w:val="18"/>
              </w:rPr>
              <w:t>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auto" w:sz="4" w:space="0"/>
              <w:right w:val="single" w:color="000000" w:sz="4" w:space="0"/>
            </w:tcBorders>
            <w:shd w:val="clear" w:color="auto" w:fill="C0C0C0"/>
            <w:vAlign w:val="center"/>
          </w:tcPr>
          <w:p>
            <w:pPr>
              <w:jc w:val="left"/>
              <w:rPr>
                <w:color w:val="000000"/>
                <w:kern w:val="0"/>
                <w:sz w:val="18"/>
                <w:szCs w:val="18"/>
              </w:rPr>
            </w:pPr>
          </w:p>
        </w:tc>
        <w:tc>
          <w:tcPr>
            <w:tcW w:w="868" w:type="dxa"/>
            <w:gridSpan w:val="2"/>
            <w:tcBorders>
              <w:top w:val="nil"/>
              <w:left w:val="single" w:color="000000" w:sz="8" w:space="0"/>
              <w:bottom w:val="single" w:color="auto"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16</w:t>
            </w:r>
          </w:p>
        </w:tc>
        <w:tc>
          <w:tcPr>
            <w:tcW w:w="2168" w:type="dxa"/>
            <w:gridSpan w:val="2"/>
            <w:tcBorders>
              <w:top w:val="nil"/>
              <w:left w:val="nil"/>
              <w:bottom w:val="single" w:color="auto" w:sz="4" w:space="0"/>
              <w:right w:val="single" w:color="000000" w:sz="4" w:space="0"/>
            </w:tcBorders>
            <w:shd w:val="clear" w:color="auto" w:fill="auto"/>
            <w:vAlign w:val="center"/>
          </w:tcPr>
          <w:p>
            <w:pPr>
              <w:jc w:val="right"/>
              <w:rPr>
                <w:color w:val="000000"/>
                <w:kern w:val="0"/>
                <w:sz w:val="18"/>
                <w:szCs w:val="18"/>
              </w:rPr>
            </w:pPr>
          </w:p>
        </w:tc>
        <w:tc>
          <w:tcPr>
            <w:tcW w:w="3711" w:type="dxa"/>
            <w:gridSpan w:val="2"/>
            <w:tcBorders>
              <w:top w:val="nil"/>
              <w:left w:val="nil"/>
              <w:bottom w:val="single" w:color="auto"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十六、金融支出</w:t>
            </w:r>
          </w:p>
        </w:tc>
        <w:tc>
          <w:tcPr>
            <w:tcW w:w="955" w:type="dxa"/>
            <w:tcBorders>
              <w:top w:val="nil"/>
              <w:left w:val="nil"/>
              <w:bottom w:val="single" w:color="auto"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46</w:t>
            </w:r>
          </w:p>
        </w:tc>
        <w:tc>
          <w:tcPr>
            <w:tcW w:w="2129" w:type="dxa"/>
            <w:gridSpan w:val="2"/>
            <w:tcBorders>
              <w:top w:val="nil"/>
              <w:left w:val="nil"/>
              <w:bottom w:val="single" w:color="auto" w:sz="4" w:space="0"/>
              <w:right w:val="single" w:color="000000" w:sz="4" w:space="0"/>
            </w:tcBorders>
            <w:vAlign w:val="center"/>
          </w:tcPr>
          <w:p>
            <w:pPr>
              <w:widowControl/>
              <w:jc w:val="right"/>
              <w:textAlignment w:val="center"/>
              <w:rPr>
                <w:color w:val="000000"/>
                <w:kern w:val="0"/>
                <w:sz w:val="18"/>
                <w:szCs w:val="18"/>
              </w:rPr>
            </w:pPr>
            <w:r>
              <w:rPr>
                <w:color w:val="000000"/>
                <w:kern w:val="0"/>
                <w:sz w:val="18"/>
                <w:szCs w:val="18"/>
              </w:rPr>
              <w:t>0.00</w:t>
            </w:r>
          </w:p>
        </w:tc>
      </w:tr>
      <w:tr>
        <w:tblPrEx>
          <w:tblCellMar>
            <w:top w:w="0" w:type="dxa"/>
            <w:left w:w="108" w:type="dxa"/>
            <w:bottom w:w="0" w:type="dxa"/>
            <w:right w:w="108" w:type="dxa"/>
          </w:tblCellMar>
        </w:tblPrEx>
        <w:trPr>
          <w:trHeight w:val="275" w:hRule="exact"/>
        </w:trPr>
        <w:tc>
          <w:tcPr>
            <w:tcW w:w="3938" w:type="dxa"/>
            <w:tcBorders>
              <w:top w:val="single" w:color="auto" w:sz="4" w:space="0"/>
              <w:left w:val="single" w:color="auto" w:sz="4" w:space="0"/>
              <w:bottom w:val="single" w:color="auto" w:sz="4" w:space="0"/>
              <w:right w:val="single" w:color="auto" w:sz="4" w:space="0"/>
            </w:tcBorders>
            <w:shd w:val="clear" w:color="auto" w:fill="C0C0C0"/>
            <w:vAlign w:val="center"/>
          </w:tcPr>
          <w:p>
            <w:pPr>
              <w:jc w:val="left"/>
              <w:rPr>
                <w:color w:val="000000"/>
                <w:kern w:val="0"/>
                <w:sz w:val="18"/>
                <w:szCs w:val="18"/>
              </w:rPr>
            </w:pPr>
          </w:p>
        </w:tc>
        <w:tc>
          <w:tcPr>
            <w:tcW w:w="868"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pPr>
            <w:r>
              <w:rPr>
                <w:rFonts w:hint="eastAsia" w:ascii="宋体" w:hAnsi="宋体" w:cs="宋体"/>
                <w:color w:val="000000"/>
                <w:kern w:val="0"/>
                <w:sz w:val="22"/>
              </w:rPr>
              <w:t>17</w:t>
            </w:r>
          </w:p>
        </w:tc>
        <w:tc>
          <w:tcPr>
            <w:tcW w:w="21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color w:val="000000"/>
                <w:kern w:val="0"/>
                <w:sz w:val="18"/>
                <w:szCs w:val="18"/>
              </w:rPr>
            </w:pPr>
          </w:p>
        </w:tc>
        <w:tc>
          <w:tcPr>
            <w:tcW w:w="3711"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十七、援助其他地区支出</w:t>
            </w:r>
          </w:p>
        </w:tc>
        <w:tc>
          <w:tcPr>
            <w:tcW w:w="955"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pPr>
            <w:r>
              <w:rPr>
                <w:rFonts w:hint="eastAsia" w:ascii="宋体" w:hAnsi="宋体" w:cs="宋体"/>
                <w:color w:val="000000"/>
                <w:kern w:val="0"/>
                <w:sz w:val="22"/>
              </w:rPr>
              <w:t>47</w:t>
            </w:r>
          </w:p>
        </w:tc>
        <w:tc>
          <w:tcPr>
            <w:tcW w:w="2129"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color w:val="000000"/>
                <w:kern w:val="0"/>
                <w:sz w:val="18"/>
                <w:szCs w:val="18"/>
              </w:rPr>
            </w:pPr>
            <w:r>
              <w:rPr>
                <w:color w:val="000000"/>
                <w:kern w:val="0"/>
                <w:sz w:val="18"/>
                <w:szCs w:val="18"/>
              </w:rPr>
              <w:t>0.00</w:t>
            </w:r>
          </w:p>
        </w:tc>
      </w:tr>
      <w:tr>
        <w:tblPrEx>
          <w:tblCellMar>
            <w:top w:w="0" w:type="dxa"/>
            <w:left w:w="108" w:type="dxa"/>
            <w:bottom w:w="0" w:type="dxa"/>
            <w:right w:w="108" w:type="dxa"/>
          </w:tblCellMar>
        </w:tblPrEx>
        <w:trPr>
          <w:trHeight w:val="275" w:hRule="exact"/>
        </w:trPr>
        <w:tc>
          <w:tcPr>
            <w:tcW w:w="3938" w:type="dxa"/>
            <w:tcBorders>
              <w:top w:val="single" w:color="auto" w:sz="4" w:space="0"/>
              <w:left w:val="single" w:color="auto" w:sz="4" w:space="0"/>
              <w:bottom w:val="single" w:color="auto" w:sz="4" w:space="0"/>
              <w:right w:val="single" w:color="auto" w:sz="4" w:space="0"/>
            </w:tcBorders>
            <w:shd w:val="clear" w:color="auto" w:fill="C0C0C0"/>
            <w:vAlign w:val="center"/>
          </w:tcPr>
          <w:p>
            <w:pPr>
              <w:jc w:val="left"/>
              <w:rPr>
                <w:color w:val="000000"/>
                <w:kern w:val="0"/>
                <w:sz w:val="18"/>
                <w:szCs w:val="18"/>
              </w:rPr>
            </w:pPr>
          </w:p>
        </w:tc>
        <w:tc>
          <w:tcPr>
            <w:tcW w:w="868"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pPr>
            <w:r>
              <w:rPr>
                <w:rFonts w:hint="eastAsia" w:ascii="宋体" w:hAnsi="宋体" w:cs="宋体"/>
                <w:color w:val="000000"/>
                <w:kern w:val="0"/>
                <w:sz w:val="22"/>
              </w:rPr>
              <w:t>18</w:t>
            </w:r>
          </w:p>
        </w:tc>
        <w:tc>
          <w:tcPr>
            <w:tcW w:w="21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color w:val="000000"/>
                <w:kern w:val="0"/>
                <w:sz w:val="18"/>
                <w:szCs w:val="18"/>
              </w:rPr>
            </w:pPr>
          </w:p>
        </w:tc>
        <w:tc>
          <w:tcPr>
            <w:tcW w:w="3711"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十八、自然资源海洋气象等支出</w:t>
            </w:r>
          </w:p>
        </w:tc>
        <w:tc>
          <w:tcPr>
            <w:tcW w:w="955"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pPr>
            <w:r>
              <w:rPr>
                <w:rFonts w:hint="eastAsia" w:ascii="宋体" w:hAnsi="宋体" w:cs="宋体"/>
                <w:color w:val="000000"/>
                <w:kern w:val="0"/>
                <w:sz w:val="22"/>
              </w:rPr>
              <w:t>48</w:t>
            </w:r>
          </w:p>
        </w:tc>
        <w:tc>
          <w:tcPr>
            <w:tcW w:w="2129"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color w:val="000000"/>
                <w:kern w:val="0"/>
                <w:sz w:val="18"/>
                <w:szCs w:val="18"/>
              </w:rPr>
            </w:pPr>
            <w:r>
              <w:rPr>
                <w:color w:val="000000"/>
                <w:kern w:val="0"/>
                <w:sz w:val="18"/>
                <w:szCs w:val="18"/>
              </w:rPr>
              <w:t>0.00</w:t>
            </w:r>
          </w:p>
        </w:tc>
      </w:tr>
      <w:tr>
        <w:tblPrEx>
          <w:tblCellMar>
            <w:top w:w="0" w:type="dxa"/>
            <w:left w:w="108" w:type="dxa"/>
            <w:bottom w:w="0" w:type="dxa"/>
            <w:right w:w="108" w:type="dxa"/>
          </w:tblCellMar>
        </w:tblPrEx>
        <w:trPr>
          <w:trHeight w:val="275" w:hRule="exact"/>
        </w:trPr>
        <w:tc>
          <w:tcPr>
            <w:tcW w:w="3938" w:type="dxa"/>
            <w:tcBorders>
              <w:top w:val="single" w:color="auto" w:sz="4" w:space="0"/>
              <w:left w:val="single" w:color="auto" w:sz="4" w:space="0"/>
              <w:bottom w:val="single" w:color="auto" w:sz="4" w:space="0"/>
              <w:right w:val="single" w:color="auto" w:sz="4" w:space="0"/>
            </w:tcBorders>
            <w:shd w:val="clear" w:color="auto" w:fill="C0C0C0"/>
            <w:vAlign w:val="center"/>
          </w:tcPr>
          <w:p>
            <w:pPr>
              <w:jc w:val="left"/>
              <w:rPr>
                <w:color w:val="000000"/>
                <w:kern w:val="0"/>
                <w:sz w:val="18"/>
                <w:szCs w:val="18"/>
              </w:rPr>
            </w:pPr>
          </w:p>
        </w:tc>
        <w:tc>
          <w:tcPr>
            <w:tcW w:w="868"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pPr>
            <w:r>
              <w:rPr>
                <w:rFonts w:hint="eastAsia" w:ascii="宋体" w:hAnsi="宋体" w:cs="宋体"/>
                <w:color w:val="000000"/>
                <w:kern w:val="0"/>
                <w:sz w:val="22"/>
              </w:rPr>
              <w:t>19</w:t>
            </w:r>
          </w:p>
        </w:tc>
        <w:tc>
          <w:tcPr>
            <w:tcW w:w="21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color w:val="000000"/>
                <w:kern w:val="0"/>
                <w:sz w:val="18"/>
                <w:szCs w:val="18"/>
              </w:rPr>
            </w:pPr>
          </w:p>
        </w:tc>
        <w:tc>
          <w:tcPr>
            <w:tcW w:w="3711"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十九、住房保障支出</w:t>
            </w:r>
          </w:p>
        </w:tc>
        <w:tc>
          <w:tcPr>
            <w:tcW w:w="955"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pPr>
            <w:r>
              <w:rPr>
                <w:rFonts w:hint="eastAsia" w:ascii="宋体" w:hAnsi="宋体" w:cs="宋体"/>
                <w:color w:val="000000"/>
                <w:kern w:val="0"/>
                <w:sz w:val="22"/>
              </w:rPr>
              <w:t>49</w:t>
            </w:r>
          </w:p>
        </w:tc>
        <w:tc>
          <w:tcPr>
            <w:tcW w:w="2129"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color w:val="000000"/>
                <w:kern w:val="0"/>
                <w:sz w:val="18"/>
                <w:szCs w:val="18"/>
              </w:rPr>
            </w:pPr>
            <w:r>
              <w:rPr>
                <w:rFonts w:hint="eastAsia" w:ascii="宋体" w:hAnsi="宋体" w:cs="宋体"/>
                <w:color w:val="000000"/>
                <w:kern w:val="0"/>
                <w:sz w:val="22"/>
                <w:szCs w:val="22"/>
              </w:rPr>
              <w:t>881,670.70</w:t>
            </w:r>
          </w:p>
        </w:tc>
      </w:tr>
      <w:tr>
        <w:tblPrEx>
          <w:tblCellMar>
            <w:top w:w="0" w:type="dxa"/>
            <w:left w:w="108" w:type="dxa"/>
            <w:bottom w:w="0" w:type="dxa"/>
            <w:right w:w="108" w:type="dxa"/>
          </w:tblCellMar>
        </w:tblPrEx>
        <w:trPr>
          <w:trHeight w:val="275" w:hRule="exact"/>
        </w:trPr>
        <w:tc>
          <w:tcPr>
            <w:tcW w:w="3938" w:type="dxa"/>
            <w:tcBorders>
              <w:top w:val="single" w:color="auto" w:sz="4" w:space="0"/>
              <w:left w:val="single" w:color="000000" w:sz="8" w:space="0"/>
              <w:bottom w:val="single" w:color="000000" w:sz="4" w:space="0"/>
              <w:right w:val="single" w:color="000000" w:sz="4" w:space="0"/>
            </w:tcBorders>
            <w:shd w:val="clear" w:color="auto" w:fill="C0C0C0"/>
            <w:vAlign w:val="center"/>
          </w:tcPr>
          <w:p>
            <w:pPr>
              <w:jc w:val="left"/>
              <w:rPr>
                <w:color w:val="000000"/>
                <w:kern w:val="0"/>
                <w:sz w:val="18"/>
                <w:szCs w:val="18"/>
              </w:rPr>
            </w:pPr>
          </w:p>
        </w:tc>
        <w:tc>
          <w:tcPr>
            <w:tcW w:w="868" w:type="dxa"/>
            <w:gridSpan w:val="2"/>
            <w:tcBorders>
              <w:top w:val="single" w:color="auto" w:sz="4" w:space="0"/>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20</w:t>
            </w:r>
          </w:p>
        </w:tc>
        <w:tc>
          <w:tcPr>
            <w:tcW w:w="2168" w:type="dxa"/>
            <w:gridSpan w:val="2"/>
            <w:tcBorders>
              <w:top w:val="single" w:color="auto" w:sz="4" w:space="0"/>
              <w:left w:val="nil"/>
              <w:bottom w:val="single" w:color="000000" w:sz="4" w:space="0"/>
              <w:right w:val="single" w:color="000000" w:sz="4" w:space="0"/>
            </w:tcBorders>
            <w:shd w:val="clear" w:color="auto" w:fill="auto"/>
            <w:vAlign w:val="center"/>
          </w:tcPr>
          <w:p>
            <w:pPr>
              <w:jc w:val="right"/>
              <w:rPr>
                <w:color w:val="000000"/>
                <w:kern w:val="0"/>
                <w:sz w:val="18"/>
                <w:szCs w:val="18"/>
              </w:rPr>
            </w:pPr>
          </w:p>
        </w:tc>
        <w:tc>
          <w:tcPr>
            <w:tcW w:w="3711" w:type="dxa"/>
            <w:gridSpan w:val="2"/>
            <w:tcBorders>
              <w:top w:val="single" w:color="auto" w:sz="4" w:space="0"/>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二十、粮油物资储备支出</w:t>
            </w:r>
          </w:p>
        </w:tc>
        <w:tc>
          <w:tcPr>
            <w:tcW w:w="955" w:type="dxa"/>
            <w:tcBorders>
              <w:top w:val="single" w:color="auto" w:sz="4" w:space="0"/>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50</w:t>
            </w:r>
          </w:p>
        </w:tc>
        <w:tc>
          <w:tcPr>
            <w:tcW w:w="2129" w:type="dxa"/>
            <w:gridSpan w:val="2"/>
            <w:tcBorders>
              <w:top w:val="single" w:color="auto" w:sz="4" w:space="0"/>
              <w:left w:val="nil"/>
              <w:bottom w:val="single" w:color="000000" w:sz="4" w:space="0"/>
              <w:right w:val="single" w:color="000000" w:sz="4" w:space="0"/>
            </w:tcBorders>
            <w:vAlign w:val="center"/>
          </w:tcPr>
          <w:p>
            <w:pPr>
              <w:widowControl/>
              <w:jc w:val="right"/>
              <w:textAlignment w:val="center"/>
              <w:rPr>
                <w:color w:val="000000"/>
                <w:kern w:val="0"/>
                <w:sz w:val="18"/>
                <w:szCs w:val="18"/>
              </w:rPr>
            </w:pPr>
            <w:r>
              <w:rPr>
                <w:color w:val="000000"/>
                <w:kern w:val="0"/>
                <w:sz w:val="18"/>
                <w:szCs w:val="18"/>
              </w:rPr>
              <w:t>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8"/>
                <w:szCs w:val="18"/>
              </w:rPr>
            </w:pPr>
          </w:p>
        </w:tc>
        <w:tc>
          <w:tcPr>
            <w:tcW w:w="868" w:type="dxa"/>
            <w:gridSpan w:val="2"/>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21</w:t>
            </w:r>
          </w:p>
        </w:tc>
        <w:tc>
          <w:tcPr>
            <w:tcW w:w="2168" w:type="dxa"/>
            <w:gridSpan w:val="2"/>
            <w:tcBorders>
              <w:top w:val="nil"/>
              <w:left w:val="nil"/>
              <w:bottom w:val="single" w:color="000000" w:sz="4" w:space="0"/>
              <w:right w:val="single" w:color="000000" w:sz="4" w:space="0"/>
            </w:tcBorders>
            <w:shd w:val="clear" w:color="auto" w:fill="auto"/>
            <w:vAlign w:val="center"/>
          </w:tcPr>
          <w:p>
            <w:pPr>
              <w:jc w:val="right"/>
              <w:rPr>
                <w:color w:val="000000"/>
                <w:kern w:val="0"/>
                <w:sz w:val="18"/>
                <w:szCs w:val="18"/>
              </w:rPr>
            </w:pP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二十一、国有资本经营预算支出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51</w:t>
            </w:r>
          </w:p>
        </w:tc>
        <w:tc>
          <w:tcPr>
            <w:tcW w:w="2129" w:type="dxa"/>
            <w:gridSpan w:val="2"/>
            <w:tcBorders>
              <w:top w:val="nil"/>
              <w:left w:val="nil"/>
              <w:bottom w:val="single" w:color="000000" w:sz="4" w:space="0"/>
              <w:right w:val="single" w:color="000000" w:sz="4" w:space="0"/>
            </w:tcBorders>
            <w:vAlign w:val="center"/>
          </w:tcPr>
          <w:p>
            <w:pPr>
              <w:widowControl/>
              <w:jc w:val="right"/>
              <w:textAlignment w:val="center"/>
              <w:rPr>
                <w:color w:val="000000"/>
                <w:kern w:val="0"/>
                <w:sz w:val="18"/>
                <w:szCs w:val="18"/>
              </w:rPr>
            </w:pPr>
            <w:r>
              <w:rPr>
                <w:color w:val="000000"/>
                <w:kern w:val="0"/>
                <w:sz w:val="18"/>
                <w:szCs w:val="18"/>
              </w:rPr>
              <w:t>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8"/>
                <w:szCs w:val="18"/>
              </w:rPr>
            </w:pPr>
          </w:p>
        </w:tc>
        <w:tc>
          <w:tcPr>
            <w:tcW w:w="868" w:type="dxa"/>
            <w:gridSpan w:val="2"/>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22</w:t>
            </w:r>
          </w:p>
        </w:tc>
        <w:tc>
          <w:tcPr>
            <w:tcW w:w="2168" w:type="dxa"/>
            <w:gridSpan w:val="2"/>
            <w:tcBorders>
              <w:top w:val="nil"/>
              <w:left w:val="nil"/>
              <w:bottom w:val="single" w:color="000000" w:sz="4" w:space="0"/>
              <w:right w:val="single" w:color="000000" w:sz="4" w:space="0"/>
            </w:tcBorders>
            <w:shd w:val="clear" w:color="auto" w:fill="auto"/>
            <w:vAlign w:val="center"/>
          </w:tcPr>
          <w:p>
            <w:pPr>
              <w:jc w:val="right"/>
              <w:rPr>
                <w:color w:val="000000"/>
                <w:kern w:val="0"/>
                <w:sz w:val="18"/>
                <w:szCs w:val="18"/>
              </w:rPr>
            </w:pPr>
          </w:p>
        </w:tc>
        <w:tc>
          <w:tcPr>
            <w:tcW w:w="3711" w:type="dxa"/>
            <w:gridSpan w:val="2"/>
            <w:tcBorders>
              <w:top w:val="nil"/>
              <w:left w:val="nil"/>
              <w:bottom w:val="single" w:color="000000" w:sz="4" w:space="0"/>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二十二、灾害防治及应急管理支出</w:t>
            </w:r>
          </w:p>
        </w:tc>
        <w:tc>
          <w:tcPr>
            <w:tcW w:w="955" w:type="dxa"/>
            <w:tcBorders>
              <w:top w:val="nil"/>
              <w:left w:val="nil"/>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52</w:t>
            </w:r>
          </w:p>
        </w:tc>
        <w:tc>
          <w:tcPr>
            <w:tcW w:w="2129" w:type="dxa"/>
            <w:gridSpan w:val="2"/>
            <w:tcBorders>
              <w:top w:val="nil"/>
              <w:left w:val="nil"/>
              <w:bottom w:val="single" w:color="000000" w:sz="4" w:space="0"/>
              <w:right w:val="single" w:color="000000" w:sz="4" w:space="0"/>
            </w:tcBorders>
            <w:vAlign w:val="center"/>
          </w:tcPr>
          <w:p>
            <w:pPr>
              <w:widowControl/>
              <w:jc w:val="right"/>
              <w:textAlignment w:val="center"/>
              <w:rPr>
                <w:color w:val="000000"/>
                <w:kern w:val="0"/>
                <w:sz w:val="18"/>
                <w:szCs w:val="18"/>
              </w:rPr>
            </w:pPr>
            <w:r>
              <w:rPr>
                <w:color w:val="000000"/>
                <w:kern w:val="0"/>
                <w:sz w:val="18"/>
                <w:szCs w:val="18"/>
              </w:rPr>
              <w:t>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8"/>
                <w:szCs w:val="18"/>
              </w:rPr>
            </w:pPr>
          </w:p>
        </w:tc>
        <w:tc>
          <w:tcPr>
            <w:tcW w:w="868" w:type="dxa"/>
            <w:gridSpan w:val="2"/>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23</w:t>
            </w:r>
          </w:p>
        </w:tc>
        <w:tc>
          <w:tcPr>
            <w:tcW w:w="2168" w:type="dxa"/>
            <w:gridSpan w:val="2"/>
            <w:tcBorders>
              <w:top w:val="nil"/>
              <w:left w:val="nil"/>
              <w:bottom w:val="single" w:color="000000" w:sz="4" w:space="0"/>
              <w:right w:val="single" w:color="000000" w:sz="4" w:space="0"/>
            </w:tcBorders>
            <w:shd w:val="clear" w:color="auto" w:fill="auto"/>
            <w:vAlign w:val="center"/>
          </w:tcPr>
          <w:p>
            <w:pPr>
              <w:jc w:val="right"/>
              <w:rPr>
                <w:color w:val="000000"/>
                <w:kern w:val="0"/>
                <w:sz w:val="18"/>
                <w:szCs w:val="18"/>
              </w:rPr>
            </w:pPr>
          </w:p>
        </w:tc>
        <w:tc>
          <w:tcPr>
            <w:tcW w:w="3711" w:type="dxa"/>
            <w:gridSpan w:val="2"/>
            <w:tcBorders>
              <w:top w:val="nil"/>
              <w:left w:val="nil"/>
              <w:bottom w:val="nil"/>
              <w:right w:val="single" w:color="000000"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二十三、其他支出</w:t>
            </w:r>
          </w:p>
        </w:tc>
        <w:tc>
          <w:tcPr>
            <w:tcW w:w="955" w:type="dxa"/>
            <w:tcBorders>
              <w:top w:val="nil"/>
              <w:left w:val="nil"/>
              <w:bottom w:val="nil"/>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53</w:t>
            </w:r>
          </w:p>
        </w:tc>
        <w:tc>
          <w:tcPr>
            <w:tcW w:w="2129" w:type="dxa"/>
            <w:gridSpan w:val="2"/>
            <w:tcBorders>
              <w:top w:val="nil"/>
              <w:left w:val="nil"/>
              <w:bottom w:val="single" w:color="000000" w:sz="4" w:space="0"/>
              <w:right w:val="single" w:color="000000" w:sz="4" w:space="0"/>
            </w:tcBorders>
            <w:vAlign w:val="center"/>
          </w:tcPr>
          <w:p>
            <w:pPr>
              <w:widowControl/>
              <w:jc w:val="right"/>
              <w:textAlignment w:val="center"/>
              <w:rPr>
                <w:color w:val="000000"/>
                <w:kern w:val="0"/>
                <w:sz w:val="18"/>
                <w:szCs w:val="18"/>
              </w:rPr>
            </w:pPr>
            <w:r>
              <w:rPr>
                <w:color w:val="000000"/>
                <w:kern w:val="0"/>
                <w:sz w:val="18"/>
                <w:szCs w:val="18"/>
              </w:rPr>
              <w:t>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jc w:val="left"/>
              <w:rPr>
                <w:b/>
                <w:bCs/>
                <w:color w:val="000000"/>
                <w:kern w:val="0"/>
                <w:sz w:val="18"/>
                <w:szCs w:val="18"/>
              </w:rPr>
            </w:pPr>
          </w:p>
        </w:tc>
        <w:tc>
          <w:tcPr>
            <w:tcW w:w="868" w:type="dxa"/>
            <w:gridSpan w:val="2"/>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24</w:t>
            </w:r>
          </w:p>
        </w:tc>
        <w:tc>
          <w:tcPr>
            <w:tcW w:w="2168" w:type="dxa"/>
            <w:gridSpan w:val="2"/>
            <w:tcBorders>
              <w:top w:val="nil"/>
              <w:left w:val="nil"/>
              <w:bottom w:val="single" w:color="000000" w:sz="4" w:space="0"/>
              <w:right w:val="single" w:color="000000" w:sz="4" w:space="0"/>
            </w:tcBorders>
            <w:shd w:val="clear" w:color="auto" w:fill="auto"/>
            <w:vAlign w:val="center"/>
          </w:tcPr>
          <w:p>
            <w:pPr>
              <w:jc w:val="right"/>
              <w:rPr>
                <w:color w:val="000000"/>
                <w:kern w:val="0"/>
                <w:sz w:val="18"/>
                <w:szCs w:val="18"/>
              </w:rPr>
            </w:pPr>
          </w:p>
        </w:tc>
        <w:tc>
          <w:tcPr>
            <w:tcW w:w="3711"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left"/>
              <w:textAlignment w:val="center"/>
              <w:rPr>
                <w:b/>
                <w:bCs/>
                <w:color w:val="000000"/>
                <w:kern w:val="0"/>
                <w:sz w:val="18"/>
                <w:szCs w:val="18"/>
              </w:rPr>
            </w:pPr>
            <w:r>
              <w:rPr>
                <w:rFonts w:hint="eastAsia" w:ascii="宋体" w:hAnsi="宋体" w:cs="宋体"/>
                <w:color w:val="000000"/>
                <w:kern w:val="0"/>
                <w:sz w:val="22"/>
              </w:rPr>
              <w:t>二十四、债务还本支出</w:t>
            </w:r>
          </w:p>
        </w:tc>
        <w:tc>
          <w:tcPr>
            <w:tcW w:w="955"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pPr>
            <w:r>
              <w:rPr>
                <w:rFonts w:hint="eastAsia" w:ascii="宋体" w:hAnsi="宋体" w:cs="宋体"/>
                <w:color w:val="000000"/>
                <w:kern w:val="0"/>
                <w:sz w:val="22"/>
              </w:rPr>
              <w:t>54</w:t>
            </w:r>
          </w:p>
        </w:tc>
        <w:tc>
          <w:tcPr>
            <w:tcW w:w="2129" w:type="dxa"/>
            <w:gridSpan w:val="2"/>
            <w:tcBorders>
              <w:top w:val="nil"/>
              <w:left w:val="nil"/>
              <w:bottom w:val="single" w:color="000000" w:sz="4" w:space="0"/>
              <w:right w:val="single" w:color="000000" w:sz="4" w:space="0"/>
            </w:tcBorders>
            <w:vAlign w:val="center"/>
          </w:tcPr>
          <w:p>
            <w:pPr>
              <w:widowControl/>
              <w:jc w:val="right"/>
              <w:textAlignment w:val="center"/>
              <w:rPr>
                <w:b/>
                <w:bCs/>
                <w:color w:val="000000"/>
                <w:kern w:val="0"/>
                <w:sz w:val="18"/>
                <w:szCs w:val="18"/>
              </w:rPr>
            </w:pPr>
            <w:r>
              <w:rPr>
                <w:b/>
                <w:bCs/>
                <w:color w:val="000000"/>
                <w:kern w:val="0"/>
                <w:sz w:val="18"/>
                <w:szCs w:val="18"/>
              </w:rPr>
              <w:t>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8"/>
                <w:szCs w:val="18"/>
              </w:rPr>
            </w:pPr>
          </w:p>
        </w:tc>
        <w:tc>
          <w:tcPr>
            <w:tcW w:w="868" w:type="dxa"/>
            <w:gridSpan w:val="2"/>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25</w:t>
            </w:r>
          </w:p>
        </w:tc>
        <w:tc>
          <w:tcPr>
            <w:tcW w:w="2168" w:type="dxa"/>
            <w:gridSpan w:val="2"/>
            <w:tcBorders>
              <w:top w:val="nil"/>
              <w:left w:val="nil"/>
              <w:bottom w:val="single" w:color="000000" w:sz="4" w:space="0"/>
              <w:right w:val="single" w:color="000000" w:sz="4" w:space="0"/>
            </w:tcBorders>
            <w:shd w:val="clear" w:color="auto" w:fill="auto"/>
            <w:vAlign w:val="center"/>
          </w:tcPr>
          <w:p>
            <w:pPr>
              <w:jc w:val="right"/>
              <w:rPr>
                <w:color w:val="000000"/>
                <w:kern w:val="0"/>
                <w:sz w:val="18"/>
                <w:szCs w:val="18"/>
              </w:rPr>
            </w:pPr>
          </w:p>
        </w:tc>
        <w:tc>
          <w:tcPr>
            <w:tcW w:w="3711" w:type="dxa"/>
            <w:gridSpan w:val="2"/>
            <w:tcBorders>
              <w:top w:val="nil"/>
              <w:left w:val="single" w:color="auto" w:sz="4" w:space="0"/>
              <w:bottom w:val="single" w:color="auto" w:sz="4" w:space="0"/>
              <w:right w:val="single" w:color="auto"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二十五、债务付息支出</w:t>
            </w:r>
          </w:p>
        </w:tc>
        <w:tc>
          <w:tcPr>
            <w:tcW w:w="955" w:type="dxa"/>
            <w:tcBorders>
              <w:top w:val="nil"/>
              <w:left w:val="single" w:color="auto" w:sz="4" w:space="0"/>
              <w:bottom w:val="single" w:color="auto" w:sz="4" w:space="0"/>
              <w:right w:val="single" w:color="auto" w:sz="4" w:space="0"/>
            </w:tcBorders>
            <w:shd w:val="clear" w:color="auto" w:fill="C0C0C0"/>
            <w:vAlign w:val="center"/>
          </w:tcPr>
          <w:p>
            <w:pPr>
              <w:widowControl/>
              <w:jc w:val="center"/>
              <w:textAlignment w:val="center"/>
            </w:pPr>
            <w:r>
              <w:rPr>
                <w:rFonts w:hint="eastAsia" w:ascii="宋体" w:hAnsi="宋体" w:cs="宋体"/>
                <w:color w:val="000000"/>
                <w:kern w:val="0"/>
                <w:sz w:val="22"/>
              </w:rPr>
              <w:t>55</w:t>
            </w:r>
          </w:p>
        </w:tc>
        <w:tc>
          <w:tcPr>
            <w:tcW w:w="2129" w:type="dxa"/>
            <w:gridSpan w:val="2"/>
            <w:tcBorders>
              <w:top w:val="nil"/>
              <w:left w:val="nil"/>
              <w:bottom w:val="single" w:color="000000" w:sz="4" w:space="0"/>
              <w:right w:val="single" w:color="000000" w:sz="4" w:space="0"/>
            </w:tcBorders>
            <w:vAlign w:val="center"/>
          </w:tcPr>
          <w:p>
            <w:pPr>
              <w:widowControl/>
              <w:jc w:val="right"/>
              <w:textAlignment w:val="center"/>
              <w:rPr>
                <w:color w:val="000000"/>
                <w:kern w:val="0"/>
                <w:sz w:val="18"/>
                <w:szCs w:val="18"/>
              </w:rPr>
            </w:pPr>
            <w:r>
              <w:rPr>
                <w:color w:val="000000"/>
                <w:kern w:val="0"/>
                <w:sz w:val="18"/>
                <w:szCs w:val="18"/>
              </w:rPr>
              <w:t>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auto" w:sz="4" w:space="0"/>
              <w:right w:val="single" w:color="000000" w:sz="4" w:space="0"/>
            </w:tcBorders>
            <w:shd w:val="clear" w:color="auto" w:fill="C0C0C0"/>
            <w:vAlign w:val="center"/>
          </w:tcPr>
          <w:p>
            <w:pPr>
              <w:jc w:val="left"/>
              <w:rPr>
                <w:color w:val="000000"/>
                <w:kern w:val="0"/>
                <w:sz w:val="18"/>
                <w:szCs w:val="18"/>
              </w:rPr>
            </w:pPr>
          </w:p>
        </w:tc>
        <w:tc>
          <w:tcPr>
            <w:tcW w:w="868" w:type="dxa"/>
            <w:gridSpan w:val="2"/>
            <w:tcBorders>
              <w:top w:val="nil"/>
              <w:left w:val="single" w:color="000000" w:sz="8" w:space="0"/>
              <w:bottom w:val="single" w:color="auto" w:sz="4" w:space="0"/>
              <w:right w:val="single" w:color="000000" w:sz="4" w:space="0"/>
            </w:tcBorders>
            <w:shd w:val="clear" w:color="auto" w:fill="C0C0C0"/>
            <w:vAlign w:val="center"/>
          </w:tcPr>
          <w:p>
            <w:pPr>
              <w:widowControl/>
              <w:jc w:val="center"/>
              <w:textAlignment w:val="center"/>
            </w:pPr>
            <w:r>
              <w:rPr>
                <w:rFonts w:hint="eastAsia" w:ascii="宋体" w:hAnsi="宋体" w:cs="宋体"/>
                <w:color w:val="000000"/>
                <w:kern w:val="0"/>
                <w:sz w:val="22"/>
              </w:rPr>
              <w:t>26</w:t>
            </w:r>
          </w:p>
        </w:tc>
        <w:tc>
          <w:tcPr>
            <w:tcW w:w="2168" w:type="dxa"/>
            <w:gridSpan w:val="2"/>
            <w:tcBorders>
              <w:top w:val="nil"/>
              <w:left w:val="nil"/>
              <w:bottom w:val="single" w:color="auto" w:sz="4" w:space="0"/>
              <w:right w:val="single" w:color="000000" w:sz="4" w:space="0"/>
            </w:tcBorders>
            <w:shd w:val="clear" w:color="auto" w:fill="auto"/>
            <w:vAlign w:val="center"/>
          </w:tcPr>
          <w:p>
            <w:pPr>
              <w:jc w:val="right"/>
              <w:rPr>
                <w:color w:val="000000"/>
                <w:kern w:val="0"/>
                <w:sz w:val="18"/>
                <w:szCs w:val="18"/>
              </w:rPr>
            </w:pPr>
          </w:p>
        </w:tc>
        <w:tc>
          <w:tcPr>
            <w:tcW w:w="3711" w:type="dxa"/>
            <w:gridSpan w:val="2"/>
            <w:tcBorders>
              <w:top w:val="nil"/>
              <w:left w:val="single" w:color="auto" w:sz="4" w:space="0"/>
              <w:bottom w:val="single" w:color="auto" w:sz="4" w:space="0"/>
              <w:right w:val="single" w:color="auto" w:sz="4" w:space="0"/>
            </w:tcBorders>
            <w:shd w:val="clear" w:color="auto" w:fill="C0C0C0"/>
            <w:vAlign w:val="center"/>
          </w:tcPr>
          <w:p>
            <w:pPr>
              <w:widowControl/>
              <w:jc w:val="left"/>
              <w:textAlignment w:val="center"/>
              <w:rPr>
                <w:color w:val="000000"/>
                <w:kern w:val="0"/>
                <w:sz w:val="18"/>
                <w:szCs w:val="18"/>
              </w:rPr>
            </w:pPr>
            <w:r>
              <w:rPr>
                <w:rFonts w:hint="eastAsia" w:ascii="宋体" w:hAnsi="宋体" w:cs="宋体"/>
                <w:color w:val="000000"/>
                <w:kern w:val="0"/>
                <w:sz w:val="22"/>
              </w:rPr>
              <w:t>二十六、抗疫特别国债安排的支出</w:t>
            </w:r>
          </w:p>
        </w:tc>
        <w:tc>
          <w:tcPr>
            <w:tcW w:w="955" w:type="dxa"/>
            <w:tcBorders>
              <w:top w:val="nil"/>
              <w:left w:val="single" w:color="auto" w:sz="4" w:space="0"/>
              <w:bottom w:val="single" w:color="auto" w:sz="4" w:space="0"/>
              <w:right w:val="single" w:color="auto" w:sz="4" w:space="0"/>
            </w:tcBorders>
            <w:shd w:val="clear" w:color="auto" w:fill="C0C0C0"/>
            <w:vAlign w:val="center"/>
          </w:tcPr>
          <w:p>
            <w:pPr>
              <w:widowControl/>
              <w:jc w:val="center"/>
              <w:textAlignment w:val="center"/>
            </w:pPr>
            <w:r>
              <w:rPr>
                <w:rFonts w:hint="eastAsia" w:ascii="宋体" w:hAnsi="宋体" w:cs="宋体"/>
                <w:color w:val="000000"/>
                <w:kern w:val="0"/>
                <w:sz w:val="22"/>
              </w:rPr>
              <w:t>56</w:t>
            </w:r>
          </w:p>
        </w:tc>
        <w:tc>
          <w:tcPr>
            <w:tcW w:w="2129" w:type="dxa"/>
            <w:gridSpan w:val="2"/>
            <w:tcBorders>
              <w:top w:val="nil"/>
              <w:left w:val="nil"/>
              <w:bottom w:val="single" w:color="auto" w:sz="4" w:space="0"/>
              <w:right w:val="single" w:color="000000" w:sz="4" w:space="0"/>
            </w:tcBorders>
            <w:vAlign w:val="center"/>
          </w:tcPr>
          <w:p>
            <w:pPr>
              <w:widowControl/>
              <w:jc w:val="right"/>
              <w:textAlignment w:val="center"/>
              <w:rPr>
                <w:color w:val="000000"/>
                <w:kern w:val="0"/>
                <w:sz w:val="18"/>
                <w:szCs w:val="18"/>
              </w:rPr>
            </w:pPr>
            <w:r>
              <w:rPr>
                <w:color w:val="000000"/>
                <w:kern w:val="0"/>
                <w:sz w:val="18"/>
                <w:szCs w:val="18"/>
              </w:rPr>
              <w:t>0.00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auto" w:sz="4" w:space="0"/>
              <w:right w:val="single" w:color="000000" w:sz="4" w:space="0"/>
            </w:tcBorders>
            <w:shd w:val="clear" w:color="auto" w:fill="C0C0C0"/>
            <w:vAlign w:val="center"/>
          </w:tcPr>
          <w:p>
            <w:pPr>
              <w:widowControl/>
              <w:jc w:val="center"/>
              <w:textAlignment w:val="center"/>
              <w:rPr>
                <w:color w:val="000000"/>
                <w:kern w:val="0"/>
                <w:sz w:val="22"/>
              </w:rPr>
            </w:pPr>
            <w:r>
              <w:rPr>
                <w:rFonts w:hint="eastAsia" w:ascii="宋体" w:hAnsi="宋体" w:cs="宋体"/>
                <w:b/>
                <w:color w:val="000000"/>
                <w:kern w:val="0"/>
                <w:sz w:val="22"/>
              </w:rPr>
              <w:t>本年收入合计</w:t>
            </w:r>
          </w:p>
        </w:tc>
        <w:tc>
          <w:tcPr>
            <w:tcW w:w="868" w:type="dxa"/>
            <w:gridSpan w:val="2"/>
            <w:tcBorders>
              <w:top w:val="nil"/>
              <w:left w:val="single" w:color="000000" w:sz="8" w:space="0"/>
              <w:bottom w:val="single" w:color="auto" w:sz="4" w:space="0"/>
              <w:right w:val="single" w:color="000000" w:sz="4" w:space="0"/>
            </w:tcBorders>
            <w:shd w:val="clear" w:color="auto" w:fill="C0C0C0"/>
            <w:vAlign w:val="center"/>
          </w:tcPr>
          <w:p>
            <w:pPr>
              <w:widowControl/>
              <w:jc w:val="center"/>
              <w:textAlignment w:val="center"/>
              <w:rPr>
                <w:color w:val="000000"/>
                <w:kern w:val="0"/>
                <w:sz w:val="22"/>
              </w:rPr>
            </w:pPr>
            <w:r>
              <w:rPr>
                <w:rFonts w:hint="eastAsia" w:ascii="宋体" w:hAnsi="宋体" w:cs="宋体"/>
                <w:color w:val="000000"/>
                <w:kern w:val="0"/>
                <w:sz w:val="22"/>
              </w:rPr>
              <w:t>27</w:t>
            </w:r>
          </w:p>
        </w:tc>
        <w:tc>
          <w:tcPr>
            <w:tcW w:w="2168" w:type="dxa"/>
            <w:gridSpan w:val="2"/>
            <w:tcBorders>
              <w:top w:val="nil"/>
              <w:left w:val="nil"/>
              <w:bottom w:val="single" w:color="auto" w:sz="4" w:space="0"/>
              <w:right w:val="single" w:color="000000" w:sz="4" w:space="0"/>
            </w:tcBorders>
            <w:shd w:val="clear" w:color="auto" w:fill="auto"/>
            <w:vAlign w:val="center"/>
          </w:tcPr>
          <w:p>
            <w:pPr>
              <w:widowControl/>
              <w:jc w:val="right"/>
              <w:textAlignment w:val="center"/>
              <w:rPr>
                <w:color w:val="000000"/>
                <w:kern w:val="0"/>
                <w:sz w:val="18"/>
                <w:szCs w:val="18"/>
              </w:rPr>
            </w:pPr>
            <w:r>
              <w:rPr>
                <w:rFonts w:hint="eastAsia" w:ascii="宋体" w:hAnsi="宋体" w:cs="宋体"/>
                <w:color w:val="000000"/>
                <w:kern w:val="0"/>
                <w:sz w:val="22"/>
                <w:szCs w:val="22"/>
              </w:rPr>
              <w:t>291,147,500.74</w:t>
            </w:r>
          </w:p>
        </w:tc>
        <w:tc>
          <w:tcPr>
            <w:tcW w:w="3711" w:type="dxa"/>
            <w:gridSpan w:val="2"/>
            <w:tcBorders>
              <w:top w:val="nil"/>
              <w:left w:val="single" w:color="auto" w:sz="4" w:space="0"/>
              <w:bottom w:val="single" w:color="auto" w:sz="4" w:space="0"/>
              <w:right w:val="single" w:color="auto" w:sz="4" w:space="0"/>
            </w:tcBorders>
            <w:shd w:val="clear" w:color="auto" w:fill="C0C0C0"/>
            <w:vAlign w:val="center"/>
          </w:tcPr>
          <w:p>
            <w:pPr>
              <w:widowControl/>
              <w:jc w:val="left"/>
              <w:textAlignment w:val="center"/>
              <w:rPr>
                <w:rFonts w:ascii="宋体" w:hAnsi="宋体" w:cs="宋体"/>
                <w:color w:val="000000"/>
                <w:kern w:val="0"/>
                <w:sz w:val="22"/>
              </w:rPr>
            </w:pPr>
            <w:r>
              <w:rPr>
                <w:rFonts w:hint="eastAsia" w:ascii="宋体" w:hAnsi="宋体" w:cs="宋体"/>
                <w:b/>
                <w:color w:val="000000"/>
                <w:kern w:val="0"/>
                <w:sz w:val="22"/>
              </w:rPr>
              <w:t>本年支出合计</w:t>
            </w:r>
          </w:p>
        </w:tc>
        <w:tc>
          <w:tcPr>
            <w:tcW w:w="955" w:type="dxa"/>
            <w:tcBorders>
              <w:top w:val="nil"/>
              <w:left w:val="single" w:color="auto" w:sz="4" w:space="0"/>
              <w:bottom w:val="single" w:color="auto" w:sz="4" w:space="0"/>
              <w:right w:val="single" w:color="auto" w:sz="4" w:space="0"/>
            </w:tcBorders>
            <w:shd w:val="clear" w:color="auto" w:fill="C0C0C0"/>
            <w:vAlign w:val="center"/>
          </w:tcPr>
          <w:p>
            <w:pPr>
              <w:widowControl/>
              <w:jc w:val="center"/>
              <w:textAlignment w:val="center"/>
              <w:rPr>
                <w:color w:val="000000"/>
                <w:kern w:val="0"/>
                <w:sz w:val="22"/>
              </w:rPr>
            </w:pPr>
            <w:r>
              <w:rPr>
                <w:rFonts w:hint="eastAsia" w:ascii="宋体" w:hAnsi="宋体" w:cs="宋体"/>
                <w:color w:val="000000"/>
                <w:kern w:val="0"/>
                <w:sz w:val="22"/>
              </w:rPr>
              <w:t>57</w:t>
            </w:r>
          </w:p>
        </w:tc>
        <w:tc>
          <w:tcPr>
            <w:tcW w:w="2129" w:type="dxa"/>
            <w:gridSpan w:val="2"/>
            <w:tcBorders>
              <w:top w:val="nil"/>
              <w:left w:val="nil"/>
              <w:bottom w:val="single" w:color="auto" w:sz="4" w:space="0"/>
              <w:right w:val="single" w:color="000000" w:sz="4" w:space="0"/>
            </w:tcBorders>
            <w:vAlign w:val="center"/>
          </w:tcPr>
          <w:p>
            <w:pPr>
              <w:widowControl/>
              <w:jc w:val="right"/>
              <w:textAlignment w:val="center"/>
              <w:rPr>
                <w:color w:val="000000"/>
                <w:kern w:val="0"/>
                <w:sz w:val="18"/>
                <w:szCs w:val="18"/>
              </w:rPr>
            </w:pPr>
            <w:r>
              <w:rPr>
                <w:rFonts w:hint="eastAsia" w:ascii="宋体" w:hAnsi="宋体" w:cs="宋体"/>
                <w:color w:val="000000"/>
                <w:kern w:val="0"/>
                <w:sz w:val="22"/>
                <w:szCs w:val="22"/>
              </w:rPr>
              <w:t>292,587,580.40</w:t>
            </w:r>
          </w:p>
        </w:tc>
      </w:tr>
      <w:tr>
        <w:tblPrEx>
          <w:tblCellMar>
            <w:top w:w="0" w:type="dxa"/>
            <w:left w:w="108" w:type="dxa"/>
            <w:bottom w:w="0" w:type="dxa"/>
            <w:right w:w="108" w:type="dxa"/>
          </w:tblCellMar>
        </w:tblPrEx>
        <w:trPr>
          <w:trHeight w:val="275" w:hRule="exact"/>
        </w:trPr>
        <w:tc>
          <w:tcPr>
            <w:tcW w:w="3938" w:type="dxa"/>
            <w:tcBorders>
              <w:top w:val="nil"/>
              <w:left w:val="single" w:color="000000" w:sz="8" w:space="0"/>
              <w:bottom w:val="single" w:color="auto" w:sz="4" w:space="0"/>
              <w:right w:val="single" w:color="000000" w:sz="4" w:space="0"/>
            </w:tcBorders>
            <w:shd w:val="clear" w:color="auto" w:fill="C0C0C0"/>
            <w:vAlign w:val="center"/>
          </w:tcPr>
          <w:p>
            <w:pPr>
              <w:widowControl/>
              <w:jc w:val="left"/>
              <w:textAlignment w:val="center"/>
              <w:rPr>
                <w:color w:val="000000"/>
                <w:kern w:val="0"/>
                <w:sz w:val="22"/>
              </w:rPr>
            </w:pPr>
            <w:r>
              <w:rPr>
                <w:rFonts w:hint="eastAsia" w:ascii="宋体" w:hAnsi="宋体" w:cs="宋体"/>
                <w:color w:val="000000"/>
                <w:kern w:val="0"/>
                <w:sz w:val="22"/>
              </w:rPr>
              <w:t xml:space="preserve">    使用非财政拨款结余</w:t>
            </w:r>
          </w:p>
        </w:tc>
        <w:tc>
          <w:tcPr>
            <w:tcW w:w="868" w:type="dxa"/>
            <w:gridSpan w:val="2"/>
            <w:tcBorders>
              <w:top w:val="nil"/>
              <w:left w:val="single" w:color="000000" w:sz="8" w:space="0"/>
              <w:bottom w:val="single" w:color="auto" w:sz="4" w:space="0"/>
              <w:right w:val="single" w:color="000000" w:sz="4" w:space="0"/>
            </w:tcBorders>
            <w:shd w:val="clear" w:color="auto" w:fill="C0C0C0"/>
            <w:vAlign w:val="center"/>
          </w:tcPr>
          <w:p>
            <w:pPr>
              <w:widowControl/>
              <w:jc w:val="center"/>
              <w:textAlignment w:val="center"/>
              <w:rPr>
                <w:color w:val="000000"/>
                <w:kern w:val="0"/>
                <w:sz w:val="22"/>
              </w:rPr>
            </w:pPr>
            <w:r>
              <w:rPr>
                <w:rFonts w:hint="eastAsia" w:ascii="宋体" w:hAnsi="宋体" w:cs="宋体"/>
                <w:color w:val="000000"/>
                <w:kern w:val="0"/>
                <w:sz w:val="22"/>
              </w:rPr>
              <w:t>28</w:t>
            </w:r>
          </w:p>
        </w:tc>
        <w:tc>
          <w:tcPr>
            <w:tcW w:w="2168" w:type="dxa"/>
            <w:gridSpan w:val="2"/>
            <w:tcBorders>
              <w:top w:val="nil"/>
              <w:left w:val="nil"/>
              <w:bottom w:val="single" w:color="auto" w:sz="4" w:space="0"/>
              <w:right w:val="single" w:color="000000" w:sz="4" w:space="0"/>
            </w:tcBorders>
            <w:shd w:val="clear" w:color="auto" w:fill="auto"/>
            <w:vAlign w:val="center"/>
          </w:tcPr>
          <w:p>
            <w:pPr>
              <w:widowControl/>
              <w:jc w:val="right"/>
              <w:textAlignment w:val="center"/>
              <w:rPr>
                <w:color w:val="000000"/>
                <w:kern w:val="0"/>
                <w:sz w:val="18"/>
                <w:szCs w:val="18"/>
              </w:rPr>
            </w:pPr>
          </w:p>
        </w:tc>
        <w:tc>
          <w:tcPr>
            <w:tcW w:w="3711" w:type="dxa"/>
            <w:gridSpan w:val="2"/>
            <w:tcBorders>
              <w:top w:val="nil"/>
              <w:left w:val="single" w:color="auto" w:sz="4" w:space="0"/>
              <w:bottom w:val="single" w:color="auto" w:sz="4" w:space="0"/>
              <w:right w:val="single" w:color="auto" w:sz="4" w:space="0"/>
            </w:tcBorders>
            <w:shd w:val="clear" w:color="auto" w:fill="C0C0C0"/>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 xml:space="preserve">    结余分配</w:t>
            </w:r>
          </w:p>
        </w:tc>
        <w:tc>
          <w:tcPr>
            <w:tcW w:w="955" w:type="dxa"/>
            <w:tcBorders>
              <w:top w:val="nil"/>
              <w:left w:val="single" w:color="auto" w:sz="4" w:space="0"/>
              <w:bottom w:val="single" w:color="auto" w:sz="4" w:space="0"/>
              <w:right w:val="single" w:color="auto" w:sz="4" w:space="0"/>
            </w:tcBorders>
            <w:shd w:val="clear" w:color="auto" w:fill="C0C0C0"/>
            <w:vAlign w:val="center"/>
          </w:tcPr>
          <w:p>
            <w:pPr>
              <w:widowControl/>
              <w:jc w:val="center"/>
              <w:textAlignment w:val="center"/>
              <w:rPr>
                <w:color w:val="000000"/>
                <w:kern w:val="0"/>
                <w:sz w:val="22"/>
              </w:rPr>
            </w:pPr>
            <w:r>
              <w:rPr>
                <w:rFonts w:hint="eastAsia" w:ascii="宋体" w:hAnsi="宋体" w:cs="宋体"/>
                <w:color w:val="000000"/>
                <w:kern w:val="0"/>
                <w:sz w:val="22"/>
              </w:rPr>
              <w:t>58</w:t>
            </w:r>
          </w:p>
        </w:tc>
        <w:tc>
          <w:tcPr>
            <w:tcW w:w="2129" w:type="dxa"/>
            <w:gridSpan w:val="2"/>
            <w:tcBorders>
              <w:top w:val="nil"/>
              <w:left w:val="nil"/>
              <w:bottom w:val="single" w:color="auto" w:sz="4" w:space="0"/>
              <w:right w:val="single" w:color="000000" w:sz="4" w:space="0"/>
            </w:tcBorders>
            <w:vAlign w:val="center"/>
          </w:tcPr>
          <w:p>
            <w:pPr>
              <w:widowControl/>
              <w:jc w:val="right"/>
              <w:textAlignment w:val="center"/>
              <w:rPr>
                <w:color w:val="000000"/>
                <w:kern w:val="0"/>
                <w:sz w:val="18"/>
                <w:szCs w:val="18"/>
              </w:rPr>
            </w:pPr>
            <w:r>
              <w:rPr>
                <w:color w:val="000000"/>
                <w:kern w:val="0"/>
                <w:sz w:val="18"/>
                <w:szCs w:val="18"/>
              </w:rPr>
              <w:t>0.00</w:t>
            </w:r>
          </w:p>
        </w:tc>
      </w:tr>
      <w:tr>
        <w:tblPrEx>
          <w:tblCellMar>
            <w:top w:w="0" w:type="dxa"/>
            <w:left w:w="108" w:type="dxa"/>
            <w:bottom w:w="0" w:type="dxa"/>
            <w:right w:w="108" w:type="dxa"/>
          </w:tblCellMar>
        </w:tblPrEx>
        <w:trPr>
          <w:trHeight w:val="275" w:hRule="exact"/>
        </w:trPr>
        <w:tc>
          <w:tcPr>
            <w:tcW w:w="3938"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left"/>
              <w:textAlignment w:val="center"/>
              <w:rPr>
                <w:b/>
                <w:bCs/>
                <w:color w:val="000000"/>
                <w:kern w:val="0"/>
                <w:sz w:val="18"/>
                <w:szCs w:val="18"/>
              </w:rPr>
            </w:pPr>
            <w:r>
              <w:rPr>
                <w:rFonts w:hint="eastAsia" w:ascii="宋体" w:hAnsi="宋体" w:cs="宋体"/>
                <w:color w:val="000000"/>
                <w:kern w:val="0"/>
                <w:sz w:val="22"/>
              </w:rPr>
              <w:t xml:space="preserve">    年初结转和结余</w:t>
            </w:r>
          </w:p>
        </w:tc>
        <w:tc>
          <w:tcPr>
            <w:tcW w:w="868"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pPr>
            <w:r>
              <w:rPr>
                <w:rFonts w:hint="eastAsia" w:ascii="宋体" w:hAnsi="宋体" w:cs="宋体"/>
                <w:color w:val="000000"/>
                <w:kern w:val="0"/>
                <w:sz w:val="22"/>
              </w:rPr>
              <w:t>29</w:t>
            </w:r>
          </w:p>
        </w:tc>
        <w:tc>
          <w:tcPr>
            <w:tcW w:w="21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color w:val="000000"/>
                <w:kern w:val="0"/>
                <w:sz w:val="18"/>
                <w:szCs w:val="18"/>
              </w:rPr>
            </w:pPr>
            <w:r>
              <w:rPr>
                <w:rFonts w:hint="eastAsia" w:ascii="宋体" w:hAnsi="宋体" w:cs="宋体"/>
                <w:color w:val="000000"/>
                <w:kern w:val="0"/>
                <w:sz w:val="22"/>
                <w:szCs w:val="22"/>
              </w:rPr>
              <w:t>17,176,437.73</w:t>
            </w:r>
          </w:p>
        </w:tc>
        <w:tc>
          <w:tcPr>
            <w:tcW w:w="3711"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left"/>
              <w:textAlignment w:val="center"/>
              <w:rPr>
                <w:b/>
                <w:bCs/>
                <w:color w:val="000000"/>
                <w:kern w:val="0"/>
                <w:sz w:val="18"/>
                <w:szCs w:val="18"/>
              </w:rPr>
            </w:pPr>
            <w:r>
              <w:rPr>
                <w:rFonts w:hint="eastAsia" w:ascii="宋体" w:hAnsi="宋体" w:cs="宋体"/>
                <w:color w:val="000000"/>
                <w:kern w:val="0"/>
                <w:sz w:val="22"/>
              </w:rPr>
              <w:t xml:space="preserve">    年末结转和结余</w:t>
            </w:r>
          </w:p>
        </w:tc>
        <w:tc>
          <w:tcPr>
            <w:tcW w:w="955"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pPr>
            <w:r>
              <w:rPr>
                <w:rFonts w:hint="eastAsia" w:ascii="宋体" w:hAnsi="宋体" w:cs="宋体"/>
                <w:color w:val="000000"/>
                <w:kern w:val="0"/>
                <w:sz w:val="22"/>
              </w:rPr>
              <w:t>59</w:t>
            </w:r>
          </w:p>
        </w:tc>
        <w:tc>
          <w:tcPr>
            <w:tcW w:w="2129"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b/>
                <w:bCs/>
                <w:color w:val="000000"/>
                <w:kern w:val="0"/>
                <w:sz w:val="18"/>
                <w:szCs w:val="18"/>
              </w:rPr>
            </w:pPr>
            <w:r>
              <w:rPr>
                <w:rFonts w:hint="eastAsia" w:ascii="宋体" w:hAnsi="宋体" w:cs="宋体"/>
                <w:color w:val="000000"/>
                <w:kern w:val="0"/>
                <w:sz w:val="22"/>
                <w:szCs w:val="22"/>
              </w:rPr>
              <w:t>15,736,358.07</w:t>
            </w:r>
          </w:p>
        </w:tc>
      </w:tr>
      <w:tr>
        <w:tblPrEx>
          <w:tblCellMar>
            <w:top w:w="0" w:type="dxa"/>
            <w:left w:w="108" w:type="dxa"/>
            <w:bottom w:w="0" w:type="dxa"/>
            <w:right w:w="108" w:type="dxa"/>
          </w:tblCellMar>
        </w:tblPrEx>
        <w:trPr>
          <w:trHeight w:val="275" w:hRule="exact"/>
        </w:trPr>
        <w:tc>
          <w:tcPr>
            <w:tcW w:w="3938"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b/>
                <w:bCs/>
                <w:color w:val="000000"/>
                <w:kern w:val="0"/>
                <w:sz w:val="18"/>
                <w:szCs w:val="18"/>
              </w:rPr>
            </w:pPr>
            <w:r>
              <w:rPr>
                <w:rFonts w:hint="eastAsia" w:ascii="宋体" w:hAnsi="宋体" w:cs="宋体"/>
                <w:b/>
                <w:color w:val="000000"/>
                <w:kern w:val="0"/>
                <w:sz w:val="22"/>
              </w:rPr>
              <w:t>总计</w:t>
            </w:r>
          </w:p>
        </w:tc>
        <w:tc>
          <w:tcPr>
            <w:tcW w:w="868"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pPr>
            <w:r>
              <w:rPr>
                <w:rFonts w:hint="eastAsia" w:ascii="宋体" w:hAnsi="宋体" w:cs="宋体"/>
                <w:color w:val="000000"/>
                <w:kern w:val="0"/>
                <w:sz w:val="22"/>
              </w:rPr>
              <w:t>30</w:t>
            </w:r>
          </w:p>
        </w:tc>
        <w:tc>
          <w:tcPr>
            <w:tcW w:w="21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color w:val="000000"/>
                <w:kern w:val="0"/>
                <w:sz w:val="18"/>
                <w:szCs w:val="18"/>
              </w:rPr>
            </w:pPr>
            <w:r>
              <w:rPr>
                <w:rFonts w:hint="eastAsia" w:ascii="宋体" w:hAnsi="宋体" w:cs="宋体"/>
                <w:color w:val="000000"/>
                <w:kern w:val="0"/>
                <w:sz w:val="22"/>
                <w:szCs w:val="22"/>
              </w:rPr>
              <w:t>308,323,938.47</w:t>
            </w:r>
          </w:p>
        </w:tc>
        <w:tc>
          <w:tcPr>
            <w:tcW w:w="3711"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left"/>
              <w:textAlignment w:val="center"/>
              <w:rPr>
                <w:b/>
                <w:bCs/>
                <w:color w:val="000000"/>
                <w:kern w:val="0"/>
                <w:sz w:val="18"/>
                <w:szCs w:val="18"/>
              </w:rPr>
            </w:pPr>
            <w:r>
              <w:rPr>
                <w:rFonts w:hint="eastAsia" w:ascii="宋体" w:hAnsi="宋体" w:cs="宋体"/>
                <w:b/>
                <w:color w:val="000000"/>
                <w:kern w:val="0"/>
                <w:sz w:val="22"/>
              </w:rPr>
              <w:t>总计</w:t>
            </w:r>
          </w:p>
        </w:tc>
        <w:tc>
          <w:tcPr>
            <w:tcW w:w="955"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pPr>
            <w:r>
              <w:rPr>
                <w:rFonts w:hint="eastAsia" w:ascii="宋体" w:hAnsi="宋体" w:cs="宋体"/>
                <w:color w:val="000000"/>
                <w:kern w:val="0"/>
                <w:sz w:val="22"/>
              </w:rPr>
              <w:t>60</w:t>
            </w:r>
          </w:p>
        </w:tc>
        <w:tc>
          <w:tcPr>
            <w:tcW w:w="2129"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b/>
                <w:bCs/>
                <w:color w:val="000000"/>
                <w:kern w:val="0"/>
                <w:sz w:val="18"/>
                <w:szCs w:val="18"/>
              </w:rPr>
            </w:pPr>
            <w:r>
              <w:rPr>
                <w:rFonts w:hint="eastAsia" w:ascii="宋体" w:hAnsi="宋体" w:cs="宋体"/>
                <w:color w:val="000000"/>
                <w:kern w:val="0"/>
                <w:sz w:val="22"/>
                <w:szCs w:val="22"/>
              </w:rPr>
              <w:t>308,323,938.47</w:t>
            </w:r>
          </w:p>
        </w:tc>
      </w:tr>
      <w:tr>
        <w:tblPrEx>
          <w:tblCellMar>
            <w:top w:w="0" w:type="dxa"/>
            <w:left w:w="108" w:type="dxa"/>
            <w:bottom w:w="0" w:type="dxa"/>
            <w:right w:w="108" w:type="dxa"/>
          </w:tblCellMar>
        </w:tblPrEx>
        <w:trPr>
          <w:trHeight w:val="275" w:hRule="exact"/>
        </w:trPr>
        <w:tc>
          <w:tcPr>
            <w:tcW w:w="13769" w:type="dxa"/>
            <w:gridSpan w:val="10"/>
            <w:tcBorders>
              <w:top w:val="single" w:color="auto" w:sz="4" w:space="0"/>
              <w:left w:val="nil"/>
              <w:bottom w:val="nil"/>
              <w:right w:val="nil"/>
            </w:tcBorders>
            <w:shd w:val="clear" w:color="auto" w:fill="auto"/>
            <w:vAlign w:val="center"/>
          </w:tcPr>
          <w:p>
            <w:pPr>
              <w:widowControl/>
              <w:jc w:val="left"/>
              <w:textAlignment w:val="center"/>
              <w:rPr>
                <w:b/>
                <w:bCs/>
                <w:color w:val="000000"/>
                <w:kern w:val="0"/>
                <w:sz w:val="18"/>
                <w:szCs w:val="18"/>
              </w:rPr>
            </w:pPr>
            <w:r>
              <w:rPr>
                <w:rFonts w:hint="eastAsia"/>
                <w:color w:val="000000"/>
                <w:kern w:val="0"/>
                <w:sz w:val="18"/>
                <w:szCs w:val="18"/>
              </w:rPr>
              <w:t>注：本表反映部门本年度的总收支和年末结余结转情况，数据取自财决01表</w:t>
            </w:r>
          </w:p>
        </w:tc>
      </w:tr>
    </w:tbl>
    <w:p>
      <w:pPr>
        <w:jc w:val="center"/>
        <w:rPr>
          <w:rFonts w:eastAsia="黑体"/>
          <w:b/>
          <w:bCs/>
          <w:color w:val="000000"/>
          <w:kern w:val="0"/>
          <w:sz w:val="40"/>
          <w:szCs w:val="40"/>
        </w:rPr>
      </w:pPr>
      <w:r>
        <w:rPr>
          <w:rFonts w:eastAsia="黑体"/>
          <w:b/>
          <w:bCs/>
          <w:color w:val="000000"/>
          <w:kern w:val="0"/>
          <w:sz w:val="40"/>
          <w:szCs w:val="40"/>
        </w:rPr>
        <w:t xml:space="preserve">第二部分  </w:t>
      </w:r>
      <w:r>
        <w:rPr>
          <w:rFonts w:hint="eastAsia" w:eastAsia="黑体"/>
          <w:b/>
          <w:bCs/>
          <w:color w:val="000000"/>
          <w:kern w:val="0"/>
          <w:sz w:val="40"/>
          <w:szCs w:val="40"/>
        </w:rPr>
        <w:t>2022年</w:t>
      </w:r>
      <w:r>
        <w:rPr>
          <w:rFonts w:eastAsia="黑体"/>
          <w:b/>
          <w:bCs/>
          <w:color w:val="000000"/>
          <w:kern w:val="0"/>
          <w:sz w:val="40"/>
          <w:szCs w:val="40"/>
        </w:rPr>
        <w:t>度部门决算表</w:t>
      </w:r>
    </w:p>
    <w:p>
      <w:pPr>
        <w:widowControl/>
        <w:jc w:val="left"/>
        <w:rPr>
          <w:rFonts w:eastAsia="黑体"/>
          <w:b/>
          <w:bCs/>
          <w:color w:val="000000"/>
          <w:kern w:val="0"/>
          <w:sz w:val="40"/>
          <w:szCs w:val="40"/>
        </w:rPr>
      </w:pPr>
      <w:r>
        <w:rPr>
          <w:rFonts w:eastAsia="黑体"/>
          <w:b/>
          <w:bCs/>
          <w:color w:val="000000"/>
          <w:kern w:val="0"/>
          <w:sz w:val="40"/>
          <w:szCs w:val="40"/>
        </w:rPr>
        <w:br w:type="page"/>
      </w:r>
    </w:p>
    <w:tbl>
      <w:tblPr>
        <w:tblStyle w:val="9"/>
        <w:tblpPr w:leftFromText="180" w:rightFromText="180" w:vertAnchor="text" w:tblpX="-93" w:tblpY="1"/>
        <w:tblOverlap w:val="never"/>
        <w:tblW w:w="15608" w:type="dxa"/>
        <w:tblInd w:w="0" w:type="dxa"/>
        <w:tblLayout w:type="fixed"/>
        <w:tblCellMar>
          <w:top w:w="0" w:type="dxa"/>
          <w:left w:w="0" w:type="dxa"/>
          <w:bottom w:w="0" w:type="dxa"/>
          <w:right w:w="0" w:type="dxa"/>
        </w:tblCellMar>
      </w:tblPr>
      <w:tblGrid>
        <w:gridCol w:w="441"/>
        <w:gridCol w:w="441"/>
        <w:gridCol w:w="441"/>
        <w:gridCol w:w="4079"/>
        <w:gridCol w:w="1843"/>
        <w:gridCol w:w="1984"/>
        <w:gridCol w:w="851"/>
        <w:gridCol w:w="845"/>
        <w:gridCol w:w="997"/>
        <w:gridCol w:w="993"/>
        <w:gridCol w:w="992"/>
        <w:gridCol w:w="1701"/>
      </w:tblGrid>
      <w:tr>
        <w:tblPrEx>
          <w:tblCellMar>
            <w:top w:w="0" w:type="dxa"/>
            <w:left w:w="0" w:type="dxa"/>
            <w:bottom w:w="0" w:type="dxa"/>
            <w:right w:w="0" w:type="dxa"/>
          </w:tblCellMar>
        </w:tblPrEx>
        <w:trPr>
          <w:trHeight w:val="308" w:hRule="atLeast"/>
        </w:trPr>
        <w:tc>
          <w:tcPr>
            <w:tcW w:w="15608" w:type="dxa"/>
            <w:gridSpan w:val="12"/>
            <w:tcBorders>
              <w:top w:val="nil"/>
              <w:left w:val="nil"/>
              <w:bottom w:val="nil"/>
              <w:right w:val="nil"/>
            </w:tcBorders>
            <w:shd w:val="clear" w:color="FFFFFF" w:fill="auto"/>
            <w:noWrap/>
            <w:tcMar>
              <w:top w:w="15" w:type="dxa"/>
              <w:left w:w="15" w:type="dxa"/>
              <w:right w:w="15" w:type="dxa"/>
            </w:tcMar>
            <w:vAlign w:val="center"/>
          </w:tcPr>
          <w:p>
            <w:pPr>
              <w:widowControl/>
              <w:jc w:val="center"/>
              <w:textAlignment w:val="center"/>
              <w:rPr>
                <w:rFonts w:ascii="宋体" w:hAnsi="宋体" w:cs="宋体"/>
                <w:b/>
                <w:bCs/>
                <w:color w:val="000000"/>
                <w:kern w:val="0"/>
                <w:sz w:val="32"/>
                <w:szCs w:val="32"/>
              </w:rPr>
            </w:pPr>
            <w:r>
              <w:rPr>
                <w:rFonts w:hint="eastAsia" w:ascii="宋体" w:hAnsi="宋体" w:cs="宋体"/>
                <w:b/>
                <w:bCs/>
                <w:color w:val="000000"/>
                <w:kern w:val="0"/>
                <w:sz w:val="32"/>
                <w:szCs w:val="32"/>
              </w:rPr>
              <w:t>收入决算表</w:t>
            </w:r>
          </w:p>
        </w:tc>
      </w:tr>
      <w:tr>
        <w:tblPrEx>
          <w:tblCellMar>
            <w:top w:w="0" w:type="dxa"/>
            <w:left w:w="0" w:type="dxa"/>
            <w:bottom w:w="0" w:type="dxa"/>
            <w:right w:w="0" w:type="dxa"/>
          </w:tblCellMar>
        </w:tblPrEx>
        <w:trPr>
          <w:trHeight w:val="308" w:hRule="atLeast"/>
        </w:trPr>
        <w:tc>
          <w:tcPr>
            <w:tcW w:w="15608" w:type="dxa"/>
            <w:gridSpan w:val="12"/>
            <w:tcBorders>
              <w:top w:val="nil"/>
              <w:left w:val="nil"/>
              <w:bottom w:val="nil"/>
              <w:right w:val="nil"/>
            </w:tcBorders>
            <w:shd w:val="clear" w:color="FFFFFF" w:fill="auto"/>
            <w:noWrap/>
            <w:tcMar>
              <w:top w:w="15" w:type="dxa"/>
              <w:left w:w="15" w:type="dxa"/>
              <w:right w:w="15" w:type="dxa"/>
            </w:tcMar>
            <w:vAlign w:val="center"/>
          </w:tcPr>
          <w:p>
            <w:pPr>
              <w:widowControl/>
              <w:jc w:val="right"/>
              <w:rPr>
                <w:color w:val="000000"/>
                <w:kern w:val="0"/>
                <w:sz w:val="24"/>
              </w:rPr>
            </w:pPr>
            <w:r>
              <w:rPr>
                <w:color w:val="000000"/>
                <w:kern w:val="0"/>
                <w:sz w:val="24"/>
              </w:rPr>
              <w:t>公开</w:t>
            </w:r>
            <w:r>
              <w:rPr>
                <w:rFonts w:hint="eastAsia"/>
                <w:color w:val="000000"/>
                <w:kern w:val="0"/>
                <w:sz w:val="24"/>
              </w:rPr>
              <w:t>02</w:t>
            </w:r>
            <w:r>
              <w:rPr>
                <w:color w:val="000000"/>
                <w:kern w:val="0"/>
                <w:sz w:val="24"/>
              </w:rPr>
              <w:t>表</w:t>
            </w:r>
          </w:p>
        </w:tc>
      </w:tr>
      <w:tr>
        <w:tblPrEx>
          <w:tblCellMar>
            <w:top w:w="0" w:type="dxa"/>
            <w:left w:w="0" w:type="dxa"/>
            <w:bottom w:w="0" w:type="dxa"/>
            <w:right w:w="0" w:type="dxa"/>
          </w:tblCellMar>
        </w:tblPrEx>
        <w:trPr>
          <w:trHeight w:val="308" w:hRule="atLeast"/>
        </w:trPr>
        <w:tc>
          <w:tcPr>
            <w:tcW w:w="9229" w:type="dxa"/>
            <w:gridSpan w:val="6"/>
            <w:tcBorders>
              <w:top w:val="nil"/>
              <w:left w:val="nil"/>
              <w:bottom w:val="single" w:color="000000" w:sz="4" w:space="0"/>
              <w:right w:val="nil"/>
            </w:tcBorders>
            <w:shd w:val="clear" w:color="FFFFFF" w:fill="auto"/>
            <w:noWrap/>
            <w:tcMar>
              <w:top w:w="15" w:type="dxa"/>
              <w:left w:w="15" w:type="dxa"/>
              <w:right w:w="15" w:type="dxa"/>
            </w:tcMar>
            <w:vAlign w:val="center"/>
          </w:tcPr>
          <w:p>
            <w:pPr>
              <w:widowControl/>
              <w:jc w:val="left"/>
              <w:textAlignment w:val="center"/>
              <w:rPr>
                <w:rFonts w:ascii="宋体" w:hAnsi="宋体" w:cs="宋体"/>
                <w:color w:val="000000"/>
                <w:kern w:val="0"/>
                <w:sz w:val="22"/>
              </w:rPr>
            </w:pPr>
            <w:r>
              <w:rPr>
                <w:color w:val="000000"/>
                <w:kern w:val="0"/>
                <w:sz w:val="24"/>
              </w:rPr>
              <w:t>公开部门：</w:t>
            </w:r>
          </w:p>
        </w:tc>
        <w:tc>
          <w:tcPr>
            <w:tcW w:w="851" w:type="dxa"/>
            <w:tcBorders>
              <w:top w:val="nil"/>
              <w:left w:val="nil"/>
              <w:bottom w:val="single" w:color="000000" w:sz="4" w:space="0"/>
              <w:right w:val="nil"/>
            </w:tcBorders>
            <w:shd w:val="clear" w:color="FFFFFF" w:fill="auto"/>
            <w:tcMar>
              <w:top w:w="15" w:type="dxa"/>
              <w:left w:w="15" w:type="dxa"/>
              <w:right w:w="15" w:type="dxa"/>
            </w:tcMar>
            <w:vAlign w:val="center"/>
          </w:tcPr>
          <w:p>
            <w:pPr>
              <w:widowControl/>
              <w:jc w:val="center"/>
              <w:textAlignment w:val="center"/>
              <w:rPr>
                <w:rFonts w:ascii="宋体" w:hAnsi="宋体" w:cs="宋体"/>
                <w:color w:val="000000"/>
                <w:kern w:val="0"/>
                <w:sz w:val="22"/>
              </w:rPr>
            </w:pPr>
          </w:p>
        </w:tc>
        <w:tc>
          <w:tcPr>
            <w:tcW w:w="1842" w:type="dxa"/>
            <w:gridSpan w:val="2"/>
            <w:tcBorders>
              <w:top w:val="nil"/>
              <w:left w:val="nil"/>
              <w:bottom w:val="single" w:color="000000" w:sz="4" w:space="0"/>
              <w:right w:val="nil"/>
            </w:tcBorders>
            <w:shd w:val="clear" w:color="FFFFFF" w:fill="auto"/>
            <w:tcMar>
              <w:top w:w="15" w:type="dxa"/>
              <w:left w:w="15" w:type="dxa"/>
              <w:right w:w="15" w:type="dxa"/>
            </w:tcMar>
            <w:vAlign w:val="center"/>
          </w:tcPr>
          <w:p>
            <w:pPr>
              <w:widowControl/>
              <w:jc w:val="center"/>
              <w:textAlignment w:val="center"/>
              <w:rPr>
                <w:rFonts w:ascii="宋体" w:hAnsi="宋体" w:cs="宋体"/>
                <w:color w:val="000000"/>
                <w:kern w:val="0"/>
                <w:sz w:val="22"/>
              </w:rPr>
            </w:pPr>
          </w:p>
        </w:tc>
        <w:tc>
          <w:tcPr>
            <w:tcW w:w="993" w:type="dxa"/>
            <w:tcBorders>
              <w:top w:val="nil"/>
              <w:left w:val="nil"/>
              <w:bottom w:val="single" w:color="000000" w:sz="4" w:space="0"/>
              <w:right w:val="nil"/>
            </w:tcBorders>
            <w:shd w:val="clear" w:color="FFFFFF" w:fill="auto"/>
            <w:tcMar>
              <w:top w:w="15" w:type="dxa"/>
              <w:left w:w="15" w:type="dxa"/>
              <w:right w:w="15" w:type="dxa"/>
            </w:tcMar>
            <w:vAlign w:val="center"/>
          </w:tcPr>
          <w:p>
            <w:pPr>
              <w:widowControl/>
              <w:jc w:val="center"/>
              <w:textAlignment w:val="center"/>
              <w:rPr>
                <w:rFonts w:ascii="宋体" w:hAnsi="宋体" w:cs="宋体"/>
                <w:color w:val="000000"/>
                <w:kern w:val="0"/>
                <w:sz w:val="22"/>
              </w:rPr>
            </w:pPr>
          </w:p>
        </w:tc>
        <w:tc>
          <w:tcPr>
            <w:tcW w:w="992" w:type="dxa"/>
            <w:tcBorders>
              <w:top w:val="nil"/>
              <w:left w:val="nil"/>
              <w:bottom w:val="single" w:color="000000" w:sz="4" w:space="0"/>
              <w:right w:val="nil"/>
            </w:tcBorders>
            <w:shd w:val="clear" w:color="FFFFFF" w:fill="auto"/>
            <w:tcMar>
              <w:top w:w="15" w:type="dxa"/>
              <w:left w:w="15" w:type="dxa"/>
              <w:right w:w="15" w:type="dxa"/>
            </w:tcMar>
            <w:vAlign w:val="center"/>
          </w:tcPr>
          <w:p>
            <w:pPr>
              <w:widowControl/>
              <w:jc w:val="center"/>
              <w:textAlignment w:val="center"/>
              <w:rPr>
                <w:rFonts w:ascii="宋体" w:hAnsi="宋体" w:cs="宋体"/>
                <w:color w:val="000000"/>
                <w:kern w:val="0"/>
                <w:sz w:val="22"/>
              </w:rPr>
            </w:pPr>
          </w:p>
        </w:tc>
        <w:tc>
          <w:tcPr>
            <w:tcW w:w="1701" w:type="dxa"/>
            <w:tcBorders>
              <w:top w:val="nil"/>
              <w:left w:val="nil"/>
              <w:bottom w:val="single" w:color="000000" w:sz="4" w:space="0"/>
              <w:right w:val="nil"/>
            </w:tcBorders>
            <w:shd w:val="clear" w:color="FFFFFF" w:fill="auto"/>
            <w:tcMar>
              <w:top w:w="15" w:type="dxa"/>
              <w:left w:w="15" w:type="dxa"/>
              <w:right w:w="15" w:type="dxa"/>
            </w:tcMar>
            <w:vAlign w:val="center"/>
          </w:tcPr>
          <w:p>
            <w:pPr>
              <w:widowControl/>
              <w:jc w:val="right"/>
              <w:rPr>
                <w:color w:val="000000"/>
                <w:kern w:val="0"/>
                <w:sz w:val="24"/>
              </w:rPr>
            </w:pPr>
            <w:r>
              <w:rPr>
                <w:color w:val="000000"/>
                <w:kern w:val="0"/>
                <w:sz w:val="24"/>
              </w:rPr>
              <w:t>金额单位：元</w:t>
            </w:r>
          </w:p>
        </w:tc>
      </w:tr>
      <w:tr>
        <w:tblPrEx>
          <w:tblCellMar>
            <w:top w:w="0" w:type="dxa"/>
            <w:left w:w="0" w:type="dxa"/>
            <w:bottom w:w="0" w:type="dxa"/>
            <w:right w:w="0" w:type="dxa"/>
          </w:tblCellMar>
        </w:tblPrEx>
        <w:trPr>
          <w:trHeight w:val="308" w:hRule="atLeast"/>
        </w:trPr>
        <w:tc>
          <w:tcPr>
            <w:tcW w:w="5402"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本年收入合计</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财政拨款收入</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上级补助收入</w:t>
            </w:r>
          </w:p>
        </w:tc>
        <w:tc>
          <w:tcPr>
            <w:tcW w:w="18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事业收入</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经营收入</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附属单位上缴收入</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其他收入</w:t>
            </w:r>
          </w:p>
        </w:tc>
      </w:tr>
      <w:tr>
        <w:tblPrEx>
          <w:tblCellMar>
            <w:top w:w="0" w:type="dxa"/>
            <w:left w:w="0" w:type="dxa"/>
            <w:bottom w:w="0" w:type="dxa"/>
            <w:right w:w="0" w:type="dxa"/>
          </w:tblCellMar>
        </w:tblPrEx>
        <w:trPr>
          <w:trHeight w:val="312" w:hRule="atLeast"/>
        </w:trPr>
        <w:tc>
          <w:tcPr>
            <w:tcW w:w="132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支出功能分类科目编码</w:t>
            </w:r>
          </w:p>
        </w:tc>
        <w:tc>
          <w:tcPr>
            <w:tcW w:w="4079"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科目名称</w:t>
            </w:r>
          </w:p>
        </w:tc>
        <w:tc>
          <w:tcPr>
            <w:tcW w:w="1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98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85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845"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小计</w:t>
            </w:r>
          </w:p>
        </w:tc>
        <w:tc>
          <w:tcPr>
            <w:tcW w:w="99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其中：</w:t>
            </w:r>
          </w:p>
          <w:p>
            <w:pPr>
              <w:widowControl/>
              <w:jc w:val="center"/>
              <w:textAlignment w:val="center"/>
              <w:rPr>
                <w:rFonts w:ascii="宋体" w:hAnsi="宋体" w:cs="宋体"/>
                <w:color w:val="000000"/>
                <w:sz w:val="22"/>
              </w:rPr>
            </w:pPr>
            <w:r>
              <w:rPr>
                <w:rFonts w:hint="eastAsia" w:ascii="宋体" w:hAnsi="宋体" w:cs="宋体"/>
                <w:color w:val="000000"/>
                <w:kern w:val="0"/>
                <w:sz w:val="22"/>
              </w:rPr>
              <w:t>教育收费</w:t>
            </w:r>
          </w:p>
        </w:tc>
        <w:tc>
          <w:tcPr>
            <w:tcW w:w="99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308" w:hRule="atLeast"/>
        </w:trPr>
        <w:tc>
          <w:tcPr>
            <w:tcW w:w="4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类</w:t>
            </w:r>
          </w:p>
        </w:tc>
        <w:tc>
          <w:tcPr>
            <w:tcW w:w="441"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款</w:t>
            </w:r>
          </w:p>
        </w:tc>
        <w:tc>
          <w:tcPr>
            <w:tcW w:w="441"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w:t>
            </w:r>
          </w:p>
        </w:tc>
        <w:tc>
          <w:tcPr>
            <w:tcW w:w="407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184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9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85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84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9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99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c>
          <w:tcPr>
            <w:tcW w:w="99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w:t>
            </w:r>
          </w:p>
        </w:tc>
        <w:tc>
          <w:tcPr>
            <w:tcW w:w="170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8</w:t>
            </w:r>
          </w:p>
        </w:tc>
      </w:tr>
      <w:tr>
        <w:tblPrEx>
          <w:tblCellMar>
            <w:top w:w="0" w:type="dxa"/>
            <w:left w:w="0" w:type="dxa"/>
            <w:bottom w:w="0" w:type="dxa"/>
            <w:right w:w="0" w:type="dxa"/>
          </w:tblCellMar>
        </w:tblPrEx>
        <w:trPr>
          <w:trHeight w:val="308" w:hRule="atLeast"/>
        </w:trPr>
        <w:tc>
          <w:tcPr>
            <w:tcW w:w="4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rPr>
            </w:pPr>
          </w:p>
        </w:tc>
        <w:tc>
          <w:tcPr>
            <w:tcW w:w="441"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rPr>
            </w:pPr>
          </w:p>
        </w:tc>
        <w:tc>
          <w:tcPr>
            <w:tcW w:w="441"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rPr>
            </w:pPr>
          </w:p>
        </w:tc>
        <w:tc>
          <w:tcPr>
            <w:tcW w:w="407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291147500.74</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247117861.84</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ascii="宋体" w:hAnsi="宋体" w:cs="宋体"/>
                <w:color w:val="00000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ascii="宋体" w:hAnsi="宋体" w:cs="宋体"/>
                <w:color w:val="00000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ascii="宋体" w:hAnsi="宋体" w:cs="宋体"/>
                <w:color w:val="00000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ascii="宋体" w:hAnsi="宋体" w:cs="宋体"/>
                <w:color w:val="00000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ascii="宋体" w:hAnsi="宋体" w:cs="宋体"/>
                <w:color w:val="000000"/>
                <w:sz w:val="22"/>
              </w:rPr>
            </w:pPr>
            <w:r>
              <w:rPr>
                <w:color w:val="000000"/>
                <w:kern w:val="0"/>
                <w:sz w:val="22"/>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44029638.90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ascii="宋体" w:hAnsi="宋体" w:cs="宋体"/>
                <w:color w:val="000000"/>
                <w:sz w:val="22"/>
              </w:rPr>
              <w:t>201</w:t>
            </w:r>
            <w:r>
              <w:rPr>
                <w:rFonts w:ascii="宋体" w:hAnsi="宋体" w:cs="宋体"/>
                <w:color w:val="000000"/>
                <w:sz w:val="22"/>
              </w:rPr>
              <w:tab/>
            </w:r>
            <w:r>
              <w:rPr>
                <w:rFonts w:ascii="宋体" w:hAnsi="宋体" w:cs="宋体"/>
                <w:color w:val="000000"/>
                <w:sz w:val="22"/>
              </w:rPr>
              <w:tab/>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一般公共服务支出</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szCs w:val="22"/>
              </w:rPr>
              <w:t>231586242.91</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187556604.01</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44029638.90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20102</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政协事务</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625499.22</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625499.22</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2010299</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其他政协事务支出</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625499.22</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625499.22</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ascii="宋体" w:hAnsi="宋体" w:cs="宋体"/>
                <w:color w:val="000000"/>
                <w:sz w:val="22"/>
              </w:rPr>
              <w:t>20103</w:t>
            </w:r>
            <w:r>
              <w:rPr>
                <w:rFonts w:ascii="宋体" w:hAnsi="宋体" w:cs="宋体"/>
                <w:color w:val="000000"/>
                <w:sz w:val="22"/>
              </w:rPr>
              <w:tab/>
            </w:r>
            <w:r>
              <w:rPr>
                <w:rFonts w:ascii="宋体" w:hAnsi="宋体" w:cs="宋体"/>
                <w:color w:val="000000"/>
                <w:sz w:val="22"/>
              </w:rPr>
              <w:tab/>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政府办公厅（室）及相关机构事务</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226564385.65</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182534746.75</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44029638.90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ascii="宋体" w:hAnsi="宋体" w:cs="宋体"/>
                <w:color w:val="000000"/>
                <w:sz w:val="22"/>
              </w:rPr>
              <w:t>2010301</w:t>
            </w:r>
            <w:r>
              <w:rPr>
                <w:rFonts w:ascii="宋体" w:hAnsi="宋体" w:cs="宋体"/>
                <w:color w:val="000000"/>
                <w:sz w:val="22"/>
              </w:rPr>
              <w:tab/>
            </w:r>
            <w:r>
              <w:rPr>
                <w:rFonts w:ascii="宋体" w:hAnsi="宋体" w:cs="宋体"/>
                <w:color w:val="000000"/>
                <w:sz w:val="22"/>
              </w:rPr>
              <w:tab/>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行政运行</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13092354.21</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13092354.21</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0.00</w:t>
            </w:r>
          </w:p>
        </w:tc>
      </w:tr>
      <w:tr>
        <w:tblPrEx>
          <w:tblCellMar>
            <w:top w:w="0" w:type="dxa"/>
            <w:left w:w="0" w:type="dxa"/>
            <w:bottom w:w="0" w:type="dxa"/>
            <w:right w:w="0" w:type="dxa"/>
          </w:tblCellMar>
        </w:tblPrEx>
        <w:trPr>
          <w:trHeight w:val="337"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2010302</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 xml:space="preserve">  一般行政管理事务</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tcPr>
          <w:p>
            <w:pPr>
              <w:ind w:firstLine="660" w:firstLineChars="300"/>
            </w:pPr>
            <w:r>
              <w:rPr>
                <w:rFonts w:hint="eastAsia" w:ascii="宋体" w:hAnsi="宋体" w:cs="宋体"/>
                <w:color w:val="000000"/>
                <w:sz w:val="22"/>
              </w:rPr>
              <w:t>1722847.94</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1722847.94</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kern w:val="0"/>
                <w:sz w:val="22"/>
              </w:rPr>
            </w:pPr>
            <w:r>
              <w:rPr>
                <w:rFonts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2010399</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其他政府办公厅（室）及相关机构事务支出</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tcPr>
          <w:p>
            <w:pPr>
              <w:rPr>
                <w:rFonts w:asciiTheme="majorEastAsia" w:hAnsiTheme="majorEastAsia" w:eastAsiaTheme="majorEastAsia"/>
                <w:sz w:val="22"/>
                <w:szCs w:val="22"/>
              </w:rPr>
            </w:pPr>
            <w:r>
              <w:t>　</w:t>
            </w:r>
            <w:r>
              <w:rPr>
                <w:rFonts w:hint="eastAsia"/>
              </w:rPr>
              <w:t xml:space="preserve">  </w:t>
            </w:r>
            <w:r>
              <w:rPr>
                <w:rFonts w:hint="eastAsia" w:asciiTheme="majorEastAsia" w:hAnsiTheme="majorEastAsia" w:eastAsiaTheme="majorEastAsia"/>
                <w:sz w:val="22"/>
                <w:szCs w:val="22"/>
              </w:rPr>
              <w:t>211749183.50</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167719544.60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kern w:val="0"/>
                <w:sz w:val="22"/>
              </w:rPr>
            </w:pPr>
            <w:r>
              <w:rPr>
                <w:rFonts w:ascii="宋体" w:hAnsi="宋体" w:cs="宋体"/>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20132</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组织事务</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4046358.04</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4046358.04</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rFonts w:hint="eastAsia" w:ascii="宋体" w:hAnsi="宋体" w:cs="宋体"/>
                <w:color w:val="000000"/>
                <w:kern w:val="0"/>
                <w:sz w:val="22"/>
              </w:rPr>
              <w:t>44029638.90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2013202</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一般行政管理事务</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2082639.00</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2082639.00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2013299</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b/>
                <w:color w:val="000000"/>
                <w:sz w:val="22"/>
              </w:rPr>
            </w:pPr>
            <w:r>
              <w:rPr>
                <w:rFonts w:hint="eastAsia" w:ascii="宋体" w:hAnsi="宋体" w:cs="宋体"/>
                <w:color w:val="000000"/>
                <w:sz w:val="22"/>
              </w:rPr>
              <w:t>其他组织事务支出</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1963719.04</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1963719.04</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20133</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宣传事务</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300000.00</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300000.00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2013399</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其他宣传事务支出</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300000.00</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300000.00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20134</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统战事务</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50000.00</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50000.00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25"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2013402</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一般行政管理事务</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50000.00</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50000.00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208</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社会保障和就业支出</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sz w:val="22"/>
              </w:rPr>
              <w:t xml:space="preserve">      2507502.12</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sz w:val="22"/>
              </w:rPr>
              <w:t xml:space="preserve">       2507502.12</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20805</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行政事业单位养老支出</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2432120.12</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2432120.12</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2080501</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行政单位离退休</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254345.00</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254345.00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2080502</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事业单位离退休</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13755.19</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13755.19</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2080505</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机关事业单位基本养老保险缴费支出</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1044555.10</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1044555.10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2080506</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机关事业单位职业年金缴费支出</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1119464.83</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1119464.83</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cs="Arial"/>
                <w:color w:val="000000"/>
                <w:sz w:val="22"/>
                <w:szCs w:val="22"/>
              </w:rPr>
            </w:pPr>
            <w:r>
              <w:rPr>
                <w:rFonts w:hint="eastAsia" w:cs="Arial"/>
                <w:color w:val="000000"/>
                <w:sz w:val="22"/>
                <w:szCs w:val="22"/>
              </w:rPr>
              <w:t>20808</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cs="Arial"/>
                <w:color w:val="000000"/>
                <w:sz w:val="22"/>
                <w:szCs w:val="22"/>
              </w:rPr>
            </w:pPr>
            <w:r>
              <w:rPr>
                <w:rFonts w:hint="eastAsia" w:cs="Arial"/>
                <w:color w:val="000000"/>
                <w:sz w:val="22"/>
                <w:szCs w:val="22"/>
              </w:rPr>
              <w:t>抚恤</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75382.00</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75382.00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cs="Arial"/>
                <w:color w:val="000000"/>
                <w:sz w:val="22"/>
                <w:szCs w:val="22"/>
              </w:rPr>
            </w:pPr>
            <w:r>
              <w:rPr>
                <w:rFonts w:hint="eastAsia" w:cs="Arial"/>
                <w:color w:val="000000"/>
                <w:sz w:val="22"/>
                <w:szCs w:val="22"/>
              </w:rPr>
              <w:t>2080801</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cs="Arial"/>
                <w:color w:val="000000"/>
                <w:sz w:val="22"/>
                <w:szCs w:val="22"/>
              </w:rPr>
            </w:pPr>
            <w:r>
              <w:rPr>
                <w:rFonts w:hint="eastAsia" w:cs="Arial"/>
                <w:color w:val="000000"/>
                <w:sz w:val="22"/>
                <w:szCs w:val="22"/>
              </w:rPr>
              <w:t>死亡抚恤</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75382.00</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75382.00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210</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卫生健康支出</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1614817.39</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1614817.39</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cs="Arial"/>
                <w:color w:val="000000"/>
                <w:sz w:val="22"/>
                <w:szCs w:val="22"/>
              </w:rPr>
            </w:pPr>
            <w:r>
              <w:rPr>
                <w:rFonts w:hint="eastAsia" w:cs="Arial"/>
                <w:color w:val="000000"/>
                <w:sz w:val="22"/>
                <w:szCs w:val="22"/>
              </w:rPr>
              <w:t>21003</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cs="Arial"/>
                <w:color w:val="000000"/>
                <w:sz w:val="22"/>
                <w:szCs w:val="22"/>
              </w:rPr>
            </w:pPr>
            <w:r>
              <w:rPr>
                <w:rFonts w:hint="eastAsia" w:cs="Arial"/>
                <w:color w:val="000000"/>
                <w:sz w:val="22"/>
                <w:szCs w:val="22"/>
              </w:rPr>
              <w:t>基层医疗卫生机构</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1048.05</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1048.05</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cs="Arial"/>
                <w:color w:val="000000"/>
                <w:sz w:val="22"/>
                <w:szCs w:val="22"/>
              </w:rPr>
            </w:pPr>
            <w:r>
              <w:rPr>
                <w:rFonts w:hint="eastAsia" w:cs="Arial"/>
                <w:color w:val="000000"/>
                <w:sz w:val="22"/>
                <w:szCs w:val="22"/>
              </w:rPr>
              <w:t>2100301</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cs="Arial"/>
                <w:color w:val="000000"/>
                <w:sz w:val="22"/>
                <w:szCs w:val="22"/>
              </w:rPr>
            </w:pPr>
            <w:r>
              <w:rPr>
                <w:rFonts w:hint="eastAsia" w:cs="Arial"/>
                <w:color w:val="000000"/>
                <w:sz w:val="22"/>
                <w:szCs w:val="22"/>
              </w:rPr>
              <w:t>城市社区卫生机构</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1048.05</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1048.05</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21004</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公共卫生</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1186386.92</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1186386.92</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2100410</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突发公共卫生事件应急处理</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1186386.92</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1186386.92</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21011</w:t>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行政事业单位医疗</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427382.42</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rPr>
                <w:rFonts w:ascii="宋体" w:hAnsi="宋体" w:cs="Arial"/>
                <w:color w:val="000000"/>
                <w:sz w:val="22"/>
                <w:szCs w:val="22"/>
              </w:rPr>
            </w:pPr>
            <w:r>
              <w:rPr>
                <w:rFonts w:hint="eastAsia" w:ascii="宋体" w:hAnsi="宋体" w:cs="Arial"/>
                <w:color w:val="000000"/>
                <w:sz w:val="22"/>
                <w:szCs w:val="22"/>
              </w:rPr>
              <w:t xml:space="preserve">    427382.42</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2101101</w:t>
            </w:r>
          </w:p>
        </w:tc>
        <w:tc>
          <w:tcPr>
            <w:tcW w:w="407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行政单位医疗</w:t>
            </w:r>
          </w:p>
        </w:tc>
        <w:tc>
          <w:tcPr>
            <w:tcW w:w="1843"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366250.7</w:t>
            </w:r>
          </w:p>
        </w:tc>
        <w:tc>
          <w:tcPr>
            <w:tcW w:w="1984"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366250.7</w:t>
            </w:r>
          </w:p>
        </w:tc>
        <w:tc>
          <w:tcPr>
            <w:tcW w:w="85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2101103</w:t>
            </w:r>
          </w:p>
        </w:tc>
        <w:tc>
          <w:tcPr>
            <w:tcW w:w="40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ascii="宋体" w:hAnsi="宋体" w:cs="Arial"/>
                <w:color w:val="000000"/>
                <w:sz w:val="22"/>
                <w:szCs w:val="22"/>
              </w:rPr>
            </w:pPr>
            <w:r>
              <w:rPr>
                <w:rFonts w:hint="eastAsia" w:cs="Arial"/>
                <w:color w:val="000000"/>
                <w:sz w:val="22"/>
                <w:szCs w:val="22"/>
              </w:rPr>
              <w:t xml:space="preserve">  公务员医疗补助</w:t>
            </w:r>
          </w:p>
        </w:tc>
        <w:tc>
          <w:tcPr>
            <w:tcW w:w="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61131.72</w:t>
            </w:r>
          </w:p>
        </w:tc>
        <w:tc>
          <w:tcPr>
            <w:tcW w:w="19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cs="Arial"/>
                <w:color w:val="000000"/>
                <w:sz w:val="22"/>
                <w:szCs w:val="22"/>
              </w:rPr>
            </w:pPr>
            <w:r>
              <w:rPr>
                <w:rFonts w:hint="eastAsia" w:cs="Arial"/>
                <w:color w:val="000000"/>
                <w:sz w:val="22"/>
                <w:szCs w:val="22"/>
              </w:rPr>
              <w:t>62231.72</w:t>
            </w: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ascii="宋体" w:hAnsi="宋体" w:cs="宋体"/>
                <w:color w:val="000000"/>
                <w:sz w:val="22"/>
              </w:rPr>
              <w:t>211</w:t>
            </w:r>
          </w:p>
        </w:tc>
        <w:tc>
          <w:tcPr>
            <w:tcW w:w="407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节能环保支出</w:t>
            </w:r>
          </w:p>
        </w:tc>
        <w:tc>
          <w:tcPr>
            <w:tcW w:w="184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11363776.00</w:t>
            </w:r>
          </w:p>
        </w:tc>
        <w:tc>
          <w:tcPr>
            <w:tcW w:w="1984"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11363776.00</w:t>
            </w:r>
          </w:p>
        </w:tc>
        <w:tc>
          <w:tcPr>
            <w:tcW w:w="85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ascii="宋体" w:hAnsi="宋体" w:cs="宋体"/>
                <w:color w:val="000000"/>
                <w:sz w:val="22"/>
              </w:rPr>
              <w:t>21103</w:t>
            </w:r>
            <w:r>
              <w:rPr>
                <w:rFonts w:ascii="宋体" w:hAnsi="宋体" w:cs="宋体"/>
                <w:color w:val="000000"/>
                <w:sz w:val="22"/>
              </w:rPr>
              <w:tab/>
            </w:r>
            <w:r>
              <w:rPr>
                <w:rFonts w:ascii="宋体" w:hAnsi="宋体" w:cs="宋体"/>
                <w:color w:val="000000"/>
                <w:sz w:val="22"/>
              </w:rPr>
              <w:tab/>
            </w:r>
          </w:p>
        </w:tc>
        <w:tc>
          <w:tcPr>
            <w:tcW w:w="407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污染防治</w:t>
            </w:r>
          </w:p>
        </w:tc>
        <w:tc>
          <w:tcPr>
            <w:tcW w:w="184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5364000.00</w:t>
            </w:r>
          </w:p>
        </w:tc>
        <w:tc>
          <w:tcPr>
            <w:tcW w:w="1984"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5364000.00</w:t>
            </w:r>
          </w:p>
        </w:tc>
        <w:tc>
          <w:tcPr>
            <w:tcW w:w="85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ascii="宋体" w:hAnsi="宋体" w:cs="宋体"/>
                <w:color w:val="000000"/>
                <w:sz w:val="22"/>
              </w:rPr>
              <w:t>2110301</w:t>
            </w:r>
            <w:r>
              <w:rPr>
                <w:rFonts w:ascii="宋体" w:hAnsi="宋体" w:cs="宋体"/>
                <w:color w:val="000000"/>
                <w:sz w:val="22"/>
              </w:rPr>
              <w:tab/>
            </w:r>
            <w:r>
              <w:rPr>
                <w:rFonts w:ascii="宋体" w:hAnsi="宋体" w:cs="宋体"/>
                <w:color w:val="000000"/>
                <w:sz w:val="22"/>
              </w:rPr>
              <w:tab/>
            </w:r>
          </w:p>
        </w:tc>
        <w:tc>
          <w:tcPr>
            <w:tcW w:w="407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 xml:space="preserve">  大气</w:t>
            </w:r>
          </w:p>
        </w:tc>
        <w:tc>
          <w:tcPr>
            <w:tcW w:w="184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4864000.00</w:t>
            </w:r>
          </w:p>
        </w:tc>
        <w:tc>
          <w:tcPr>
            <w:tcW w:w="1984"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4864000.00</w:t>
            </w:r>
          </w:p>
        </w:tc>
        <w:tc>
          <w:tcPr>
            <w:tcW w:w="85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2110399</w:t>
            </w:r>
          </w:p>
        </w:tc>
        <w:tc>
          <w:tcPr>
            <w:tcW w:w="407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其他污染防治支出</w:t>
            </w:r>
          </w:p>
        </w:tc>
        <w:tc>
          <w:tcPr>
            <w:tcW w:w="184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500000.00</w:t>
            </w:r>
          </w:p>
        </w:tc>
        <w:tc>
          <w:tcPr>
            <w:tcW w:w="1984"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500000.00</w:t>
            </w:r>
          </w:p>
        </w:tc>
        <w:tc>
          <w:tcPr>
            <w:tcW w:w="85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ascii="宋体" w:hAnsi="宋体" w:cs="宋体"/>
                <w:color w:val="000000"/>
                <w:sz w:val="22"/>
              </w:rPr>
              <w:t>21104</w:t>
            </w:r>
            <w:r>
              <w:rPr>
                <w:rFonts w:ascii="宋体" w:hAnsi="宋体" w:cs="宋体"/>
                <w:color w:val="000000"/>
                <w:sz w:val="22"/>
              </w:rPr>
              <w:tab/>
            </w:r>
            <w:r>
              <w:rPr>
                <w:rFonts w:ascii="宋体" w:hAnsi="宋体" w:cs="宋体"/>
                <w:color w:val="000000"/>
                <w:sz w:val="22"/>
              </w:rPr>
              <w:tab/>
            </w:r>
          </w:p>
        </w:tc>
        <w:tc>
          <w:tcPr>
            <w:tcW w:w="407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自然生态保护</w:t>
            </w:r>
          </w:p>
        </w:tc>
        <w:tc>
          <w:tcPr>
            <w:tcW w:w="184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5999776.00</w:t>
            </w:r>
          </w:p>
        </w:tc>
        <w:tc>
          <w:tcPr>
            <w:tcW w:w="1984"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5999776.00</w:t>
            </w:r>
          </w:p>
        </w:tc>
        <w:tc>
          <w:tcPr>
            <w:tcW w:w="85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ascii="宋体" w:hAnsi="宋体" w:cs="宋体"/>
                <w:color w:val="000000"/>
                <w:sz w:val="22"/>
              </w:rPr>
              <w:t>2110402</w:t>
            </w:r>
            <w:r>
              <w:rPr>
                <w:rFonts w:ascii="宋体" w:hAnsi="宋体" w:cs="宋体"/>
                <w:color w:val="000000"/>
                <w:sz w:val="22"/>
              </w:rPr>
              <w:tab/>
            </w:r>
            <w:r>
              <w:rPr>
                <w:rFonts w:ascii="宋体" w:hAnsi="宋体" w:cs="宋体"/>
                <w:color w:val="000000"/>
                <w:sz w:val="22"/>
              </w:rPr>
              <w:tab/>
            </w:r>
          </w:p>
        </w:tc>
        <w:tc>
          <w:tcPr>
            <w:tcW w:w="407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 xml:space="preserve">  农村环境保护</w:t>
            </w:r>
          </w:p>
        </w:tc>
        <w:tc>
          <w:tcPr>
            <w:tcW w:w="184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5999776.00</w:t>
            </w:r>
          </w:p>
        </w:tc>
        <w:tc>
          <w:tcPr>
            <w:tcW w:w="1984"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5999776.00</w:t>
            </w:r>
          </w:p>
        </w:tc>
        <w:tc>
          <w:tcPr>
            <w:tcW w:w="85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ascii="宋体" w:hAnsi="宋体" w:cs="宋体"/>
                <w:color w:val="000000"/>
                <w:sz w:val="22"/>
              </w:rPr>
              <w:t>212</w:t>
            </w:r>
            <w:r>
              <w:rPr>
                <w:rFonts w:ascii="宋体" w:hAnsi="宋体" w:cs="宋体"/>
                <w:color w:val="000000"/>
                <w:sz w:val="22"/>
              </w:rPr>
              <w:tab/>
            </w:r>
            <w:r>
              <w:rPr>
                <w:rFonts w:ascii="宋体" w:hAnsi="宋体" w:cs="宋体"/>
                <w:color w:val="000000"/>
                <w:sz w:val="22"/>
              </w:rPr>
              <w:tab/>
            </w:r>
          </w:p>
        </w:tc>
        <w:tc>
          <w:tcPr>
            <w:tcW w:w="407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城乡社区支出</w:t>
            </w:r>
          </w:p>
        </w:tc>
        <w:tc>
          <w:tcPr>
            <w:tcW w:w="184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895734.00</w:t>
            </w:r>
          </w:p>
        </w:tc>
        <w:tc>
          <w:tcPr>
            <w:tcW w:w="1984"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895734.00</w:t>
            </w:r>
          </w:p>
        </w:tc>
        <w:tc>
          <w:tcPr>
            <w:tcW w:w="85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ascii="宋体" w:hAnsi="宋体" w:cs="宋体"/>
                <w:color w:val="000000"/>
                <w:sz w:val="22"/>
              </w:rPr>
              <w:t>21201</w:t>
            </w:r>
          </w:p>
        </w:tc>
        <w:tc>
          <w:tcPr>
            <w:tcW w:w="407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城乡社区管理事务</w:t>
            </w:r>
          </w:p>
        </w:tc>
        <w:tc>
          <w:tcPr>
            <w:tcW w:w="184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60000.00</w:t>
            </w:r>
          </w:p>
        </w:tc>
        <w:tc>
          <w:tcPr>
            <w:tcW w:w="1984"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895734.00</w:t>
            </w:r>
          </w:p>
        </w:tc>
        <w:tc>
          <w:tcPr>
            <w:tcW w:w="85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ascii="宋体" w:hAnsi="宋体" w:cs="宋体"/>
                <w:color w:val="000000"/>
                <w:sz w:val="22"/>
              </w:rPr>
              <w:t>2120101</w:t>
            </w:r>
            <w:r>
              <w:rPr>
                <w:rFonts w:hint="eastAsia" w:ascii="宋体" w:hAnsi="宋体" w:cs="宋体"/>
                <w:color w:val="000000"/>
                <w:sz w:val="22"/>
              </w:rPr>
              <w:t>2</w:t>
            </w:r>
          </w:p>
        </w:tc>
        <w:tc>
          <w:tcPr>
            <w:tcW w:w="407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一般行政管理事务</w:t>
            </w:r>
          </w:p>
        </w:tc>
        <w:tc>
          <w:tcPr>
            <w:tcW w:w="184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60000.00</w:t>
            </w:r>
          </w:p>
        </w:tc>
        <w:tc>
          <w:tcPr>
            <w:tcW w:w="1984"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60000.00</w:t>
            </w:r>
          </w:p>
        </w:tc>
        <w:tc>
          <w:tcPr>
            <w:tcW w:w="85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ascii="宋体" w:hAnsi="宋体" w:cs="宋体"/>
                <w:color w:val="000000"/>
                <w:sz w:val="22"/>
              </w:rPr>
              <w:t>21203</w:t>
            </w:r>
            <w:r>
              <w:rPr>
                <w:rFonts w:ascii="宋体" w:hAnsi="宋体" w:cs="宋体"/>
                <w:color w:val="000000"/>
                <w:sz w:val="22"/>
              </w:rPr>
              <w:tab/>
            </w:r>
            <w:r>
              <w:rPr>
                <w:rFonts w:ascii="宋体" w:hAnsi="宋体" w:cs="宋体"/>
                <w:color w:val="000000"/>
                <w:sz w:val="22"/>
              </w:rPr>
              <w:tab/>
            </w:r>
          </w:p>
        </w:tc>
        <w:tc>
          <w:tcPr>
            <w:tcW w:w="407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 xml:space="preserve">城乡社区公共设施 </w:t>
            </w:r>
          </w:p>
        </w:tc>
        <w:tc>
          <w:tcPr>
            <w:tcW w:w="184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135734.00</w:t>
            </w:r>
          </w:p>
        </w:tc>
        <w:tc>
          <w:tcPr>
            <w:tcW w:w="1984"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60000.00</w:t>
            </w:r>
          </w:p>
        </w:tc>
        <w:tc>
          <w:tcPr>
            <w:tcW w:w="85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ascii="宋体" w:hAnsi="宋体" w:cs="宋体"/>
                <w:color w:val="000000"/>
                <w:sz w:val="22"/>
              </w:rPr>
              <w:t>2120399</w:t>
            </w:r>
            <w:r>
              <w:rPr>
                <w:rFonts w:ascii="宋体" w:hAnsi="宋体" w:cs="宋体"/>
                <w:color w:val="000000"/>
                <w:sz w:val="22"/>
              </w:rPr>
              <w:tab/>
            </w:r>
            <w:r>
              <w:rPr>
                <w:rFonts w:ascii="宋体" w:hAnsi="宋体" w:cs="宋体"/>
                <w:color w:val="000000"/>
                <w:sz w:val="22"/>
              </w:rPr>
              <w:tab/>
            </w:r>
          </w:p>
        </w:tc>
        <w:tc>
          <w:tcPr>
            <w:tcW w:w="407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其他城乡社区公共设施支出</w:t>
            </w:r>
          </w:p>
        </w:tc>
        <w:tc>
          <w:tcPr>
            <w:tcW w:w="184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135734.00</w:t>
            </w:r>
          </w:p>
        </w:tc>
        <w:tc>
          <w:tcPr>
            <w:tcW w:w="1984"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135734.00</w:t>
            </w:r>
          </w:p>
        </w:tc>
        <w:tc>
          <w:tcPr>
            <w:tcW w:w="85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ascii="宋体" w:hAnsi="宋体" w:cs="宋体"/>
                <w:color w:val="000000"/>
                <w:sz w:val="22"/>
              </w:rPr>
              <w:t>21205</w:t>
            </w:r>
            <w:r>
              <w:rPr>
                <w:rFonts w:ascii="宋体" w:hAnsi="宋体" w:cs="宋体"/>
                <w:color w:val="000000"/>
                <w:sz w:val="22"/>
              </w:rPr>
              <w:tab/>
            </w:r>
            <w:r>
              <w:rPr>
                <w:rFonts w:ascii="宋体" w:hAnsi="宋体" w:cs="宋体"/>
                <w:color w:val="000000"/>
                <w:sz w:val="22"/>
              </w:rPr>
              <w:tab/>
            </w:r>
          </w:p>
        </w:tc>
        <w:tc>
          <w:tcPr>
            <w:tcW w:w="407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城乡社区环境卫生</w:t>
            </w:r>
          </w:p>
        </w:tc>
        <w:tc>
          <w:tcPr>
            <w:tcW w:w="184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700000.00</w:t>
            </w:r>
          </w:p>
        </w:tc>
        <w:tc>
          <w:tcPr>
            <w:tcW w:w="1984"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700000.00</w:t>
            </w:r>
          </w:p>
        </w:tc>
        <w:tc>
          <w:tcPr>
            <w:tcW w:w="85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ascii="宋体" w:hAnsi="宋体" w:cs="宋体"/>
                <w:color w:val="000000"/>
                <w:sz w:val="22"/>
              </w:rPr>
              <w:t>2120501</w:t>
            </w:r>
            <w:r>
              <w:rPr>
                <w:rFonts w:ascii="宋体" w:hAnsi="宋体" w:cs="宋体"/>
                <w:color w:val="000000"/>
                <w:sz w:val="22"/>
              </w:rPr>
              <w:tab/>
            </w:r>
            <w:r>
              <w:rPr>
                <w:rFonts w:ascii="宋体" w:hAnsi="宋体" w:cs="宋体"/>
                <w:color w:val="000000"/>
                <w:sz w:val="22"/>
              </w:rPr>
              <w:tab/>
            </w:r>
          </w:p>
        </w:tc>
        <w:tc>
          <w:tcPr>
            <w:tcW w:w="407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城乡社区环境卫生</w:t>
            </w:r>
          </w:p>
        </w:tc>
        <w:tc>
          <w:tcPr>
            <w:tcW w:w="184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700000.00</w:t>
            </w:r>
          </w:p>
        </w:tc>
        <w:tc>
          <w:tcPr>
            <w:tcW w:w="1984"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700000.00</w:t>
            </w:r>
          </w:p>
        </w:tc>
        <w:tc>
          <w:tcPr>
            <w:tcW w:w="85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ascii="宋体" w:hAnsi="宋体" w:cs="宋体"/>
                <w:color w:val="000000"/>
                <w:sz w:val="22"/>
              </w:rPr>
              <w:t>213</w:t>
            </w:r>
            <w:r>
              <w:rPr>
                <w:rFonts w:ascii="宋体" w:hAnsi="宋体" w:cs="宋体"/>
                <w:color w:val="000000"/>
                <w:sz w:val="22"/>
              </w:rPr>
              <w:tab/>
            </w:r>
            <w:r>
              <w:rPr>
                <w:rFonts w:ascii="宋体" w:hAnsi="宋体" w:cs="宋体"/>
                <w:color w:val="000000"/>
                <w:sz w:val="22"/>
              </w:rPr>
              <w:tab/>
            </w:r>
          </w:p>
        </w:tc>
        <w:tc>
          <w:tcPr>
            <w:tcW w:w="407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农林水支出</w:t>
            </w:r>
          </w:p>
        </w:tc>
        <w:tc>
          <w:tcPr>
            <w:tcW w:w="184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42178348.01</w:t>
            </w:r>
          </w:p>
        </w:tc>
        <w:tc>
          <w:tcPr>
            <w:tcW w:w="1984"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42178348.01</w:t>
            </w:r>
          </w:p>
        </w:tc>
        <w:tc>
          <w:tcPr>
            <w:tcW w:w="85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ascii="宋体" w:hAnsi="宋体" w:cs="宋体"/>
                <w:color w:val="000000"/>
                <w:sz w:val="22"/>
              </w:rPr>
              <w:t>21301</w:t>
            </w:r>
            <w:r>
              <w:rPr>
                <w:rFonts w:ascii="宋体" w:hAnsi="宋体" w:cs="宋体"/>
                <w:color w:val="000000"/>
                <w:sz w:val="22"/>
              </w:rPr>
              <w:tab/>
            </w:r>
            <w:r>
              <w:rPr>
                <w:rFonts w:ascii="宋体" w:hAnsi="宋体" w:cs="宋体"/>
                <w:color w:val="000000"/>
                <w:sz w:val="22"/>
              </w:rPr>
              <w:tab/>
            </w:r>
          </w:p>
        </w:tc>
        <w:tc>
          <w:tcPr>
            <w:tcW w:w="407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农业农村</w:t>
            </w:r>
          </w:p>
        </w:tc>
        <w:tc>
          <w:tcPr>
            <w:tcW w:w="184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2149760.00</w:t>
            </w:r>
          </w:p>
        </w:tc>
        <w:tc>
          <w:tcPr>
            <w:tcW w:w="1984"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2149760.00</w:t>
            </w:r>
          </w:p>
        </w:tc>
        <w:tc>
          <w:tcPr>
            <w:tcW w:w="85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ascii="宋体" w:hAnsi="宋体" w:cs="宋体"/>
                <w:color w:val="000000"/>
                <w:sz w:val="22"/>
              </w:rPr>
              <w:t>2130122</w:t>
            </w:r>
            <w:r>
              <w:rPr>
                <w:rFonts w:ascii="宋体" w:hAnsi="宋体" w:cs="宋体"/>
                <w:color w:val="000000"/>
                <w:sz w:val="22"/>
              </w:rPr>
              <w:tab/>
            </w:r>
            <w:r>
              <w:rPr>
                <w:rFonts w:ascii="宋体" w:hAnsi="宋体" w:cs="宋体"/>
                <w:color w:val="000000"/>
                <w:sz w:val="22"/>
              </w:rPr>
              <w:tab/>
            </w:r>
          </w:p>
        </w:tc>
        <w:tc>
          <w:tcPr>
            <w:tcW w:w="407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农业生产发展</w:t>
            </w:r>
          </w:p>
        </w:tc>
        <w:tc>
          <w:tcPr>
            <w:tcW w:w="184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1099760.00</w:t>
            </w:r>
          </w:p>
        </w:tc>
        <w:tc>
          <w:tcPr>
            <w:tcW w:w="1984"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1099760.00</w:t>
            </w:r>
          </w:p>
        </w:tc>
        <w:tc>
          <w:tcPr>
            <w:tcW w:w="85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2130126</w:t>
            </w:r>
          </w:p>
        </w:tc>
        <w:tc>
          <w:tcPr>
            <w:tcW w:w="407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农村社会事务</w:t>
            </w:r>
          </w:p>
        </w:tc>
        <w:tc>
          <w:tcPr>
            <w:tcW w:w="184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1050000.00</w:t>
            </w:r>
          </w:p>
        </w:tc>
        <w:tc>
          <w:tcPr>
            <w:tcW w:w="1984"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1050000.00</w:t>
            </w:r>
          </w:p>
        </w:tc>
        <w:tc>
          <w:tcPr>
            <w:tcW w:w="85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ascii="宋体" w:hAnsi="宋体" w:cs="宋体"/>
                <w:color w:val="000000"/>
                <w:sz w:val="22"/>
              </w:rPr>
              <w:t>21305</w:t>
            </w:r>
            <w:r>
              <w:rPr>
                <w:rFonts w:ascii="宋体" w:hAnsi="宋体" w:cs="宋体"/>
                <w:color w:val="000000"/>
                <w:sz w:val="22"/>
              </w:rPr>
              <w:tab/>
            </w:r>
            <w:r>
              <w:rPr>
                <w:rFonts w:ascii="宋体" w:hAnsi="宋体" w:cs="宋体"/>
                <w:color w:val="000000"/>
                <w:sz w:val="22"/>
              </w:rPr>
              <w:tab/>
            </w:r>
          </w:p>
        </w:tc>
        <w:tc>
          <w:tcPr>
            <w:tcW w:w="407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巩固脱贫衔接乡村振兴</w:t>
            </w:r>
          </w:p>
        </w:tc>
        <w:tc>
          <w:tcPr>
            <w:tcW w:w="184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29529344.28</w:t>
            </w:r>
          </w:p>
        </w:tc>
        <w:tc>
          <w:tcPr>
            <w:tcW w:w="1984"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29529344.28</w:t>
            </w:r>
          </w:p>
        </w:tc>
        <w:tc>
          <w:tcPr>
            <w:tcW w:w="85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2130505</w:t>
            </w:r>
          </w:p>
        </w:tc>
        <w:tc>
          <w:tcPr>
            <w:tcW w:w="407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生产发展</w:t>
            </w:r>
          </w:p>
        </w:tc>
        <w:tc>
          <w:tcPr>
            <w:tcW w:w="184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27915644.28</w:t>
            </w:r>
          </w:p>
        </w:tc>
        <w:tc>
          <w:tcPr>
            <w:tcW w:w="1984"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27915644.28</w:t>
            </w:r>
          </w:p>
        </w:tc>
        <w:tc>
          <w:tcPr>
            <w:tcW w:w="85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ascii="宋体" w:hAnsi="宋体" w:cs="宋体"/>
                <w:color w:val="000000"/>
                <w:sz w:val="22"/>
              </w:rPr>
              <w:t>2130599</w:t>
            </w:r>
            <w:r>
              <w:rPr>
                <w:rFonts w:ascii="宋体" w:hAnsi="宋体" w:cs="宋体"/>
                <w:color w:val="000000"/>
                <w:sz w:val="22"/>
              </w:rPr>
              <w:tab/>
            </w:r>
            <w:r>
              <w:rPr>
                <w:rFonts w:ascii="宋体" w:hAnsi="宋体" w:cs="宋体"/>
                <w:color w:val="000000"/>
                <w:sz w:val="22"/>
              </w:rPr>
              <w:tab/>
            </w:r>
          </w:p>
        </w:tc>
        <w:tc>
          <w:tcPr>
            <w:tcW w:w="407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其他巩固脱贫衔接乡村振兴支出</w:t>
            </w:r>
          </w:p>
        </w:tc>
        <w:tc>
          <w:tcPr>
            <w:tcW w:w="184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1613700.00</w:t>
            </w:r>
          </w:p>
        </w:tc>
        <w:tc>
          <w:tcPr>
            <w:tcW w:w="1984"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1613700.00</w:t>
            </w:r>
          </w:p>
        </w:tc>
        <w:tc>
          <w:tcPr>
            <w:tcW w:w="85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ascii="宋体" w:hAnsi="宋体" w:cs="宋体"/>
                <w:color w:val="000000"/>
                <w:sz w:val="22"/>
              </w:rPr>
              <w:t>21307</w:t>
            </w:r>
            <w:r>
              <w:rPr>
                <w:rFonts w:ascii="宋体" w:hAnsi="宋体" w:cs="宋体"/>
                <w:color w:val="000000"/>
                <w:sz w:val="22"/>
              </w:rPr>
              <w:tab/>
            </w:r>
            <w:r>
              <w:rPr>
                <w:rFonts w:ascii="宋体" w:hAnsi="宋体" w:cs="宋体"/>
                <w:color w:val="000000"/>
                <w:sz w:val="22"/>
              </w:rPr>
              <w:tab/>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农村综合改革</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10499243.73</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10499243.73</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ascii="宋体" w:hAnsi="宋体" w:cs="宋体"/>
                <w:color w:val="000000"/>
                <w:sz w:val="22"/>
              </w:rPr>
              <w:t>2130701</w:t>
            </w:r>
            <w:r>
              <w:rPr>
                <w:rFonts w:ascii="宋体" w:hAnsi="宋体" w:cs="宋体"/>
                <w:color w:val="000000"/>
                <w:sz w:val="22"/>
              </w:rPr>
              <w:tab/>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对村级公益事业建设的补助</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6779243.73</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6779243.73</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ascii="宋体" w:hAnsi="宋体" w:cs="宋体"/>
                <w:color w:val="000000"/>
                <w:sz w:val="22"/>
              </w:rPr>
              <w:t>2130705</w:t>
            </w:r>
            <w:r>
              <w:rPr>
                <w:rFonts w:ascii="宋体" w:hAnsi="宋体" w:cs="宋体"/>
                <w:color w:val="000000"/>
                <w:sz w:val="22"/>
              </w:rPr>
              <w:tab/>
            </w:r>
            <w:r>
              <w:rPr>
                <w:rFonts w:ascii="宋体" w:hAnsi="宋体" w:cs="宋体"/>
                <w:color w:val="000000"/>
                <w:sz w:val="22"/>
              </w:rPr>
              <w:tab/>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对村民委员会和村党支部的补助</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2120000.00</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2120000.00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ascii="宋体" w:hAnsi="宋体" w:cs="宋体"/>
                <w:color w:val="000000"/>
                <w:sz w:val="22"/>
              </w:rPr>
              <w:t>2130706</w:t>
            </w:r>
            <w:r>
              <w:rPr>
                <w:rFonts w:ascii="宋体" w:hAnsi="宋体" w:cs="宋体"/>
                <w:color w:val="000000"/>
                <w:sz w:val="22"/>
              </w:rPr>
              <w:tab/>
            </w:r>
            <w:r>
              <w:rPr>
                <w:rFonts w:ascii="宋体" w:hAnsi="宋体" w:cs="宋体"/>
                <w:color w:val="000000"/>
                <w:sz w:val="22"/>
              </w:rPr>
              <w:tab/>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对村集体经济组织的补助</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1600000.00</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1600000.00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ascii="宋体" w:hAnsi="宋体" w:cs="宋体"/>
                <w:color w:val="000000"/>
                <w:sz w:val="22"/>
              </w:rPr>
              <w:t>221</w:t>
            </w:r>
            <w:r>
              <w:rPr>
                <w:rFonts w:ascii="宋体" w:hAnsi="宋体" w:cs="宋体"/>
                <w:color w:val="000000"/>
                <w:sz w:val="22"/>
              </w:rPr>
              <w:tab/>
            </w:r>
            <w:r>
              <w:rPr>
                <w:rFonts w:ascii="宋体" w:hAnsi="宋体" w:cs="宋体"/>
                <w:color w:val="000000"/>
                <w:sz w:val="22"/>
              </w:rPr>
              <w:tab/>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住房保障支出</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1001080.31</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1001080.31</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ascii="宋体" w:hAnsi="宋体" w:cs="宋体"/>
                <w:color w:val="000000"/>
                <w:sz w:val="22"/>
              </w:rPr>
              <w:t>22102</w:t>
            </w:r>
            <w:r>
              <w:rPr>
                <w:rFonts w:ascii="宋体" w:hAnsi="宋体" w:cs="宋体"/>
                <w:color w:val="000000"/>
                <w:sz w:val="22"/>
              </w:rPr>
              <w:tab/>
            </w:r>
            <w:r>
              <w:rPr>
                <w:rFonts w:ascii="宋体" w:hAnsi="宋体" w:cs="宋体"/>
                <w:color w:val="000000"/>
                <w:sz w:val="22"/>
              </w:rPr>
              <w:tab/>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住房改革支出</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1001080.31</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1001080.31</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ascii="宋体" w:hAnsi="宋体" w:cs="宋体"/>
                <w:color w:val="000000"/>
                <w:sz w:val="22"/>
              </w:rPr>
              <w:t>2210201</w:t>
            </w:r>
            <w:r>
              <w:rPr>
                <w:rFonts w:ascii="宋体" w:hAnsi="宋体" w:cs="宋体"/>
                <w:color w:val="000000"/>
                <w:sz w:val="22"/>
              </w:rPr>
              <w:tab/>
            </w:r>
            <w:r>
              <w:rPr>
                <w:rFonts w:ascii="宋体" w:hAnsi="宋体" w:cs="宋体"/>
                <w:color w:val="000000"/>
                <w:sz w:val="22"/>
              </w:rPr>
              <w:tab/>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住房公积金</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884080.61</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884080.61</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r>
        <w:tblPrEx>
          <w:tblCellMar>
            <w:top w:w="0" w:type="dxa"/>
            <w:left w:w="0" w:type="dxa"/>
            <w:bottom w:w="0" w:type="dxa"/>
            <w:right w:w="0" w:type="dxa"/>
          </w:tblCellMar>
        </w:tblPrEx>
        <w:trPr>
          <w:trHeight w:val="308" w:hRule="atLeast"/>
        </w:trPr>
        <w:tc>
          <w:tcPr>
            <w:tcW w:w="132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ascii="宋体" w:hAnsi="宋体" w:cs="宋体"/>
                <w:color w:val="000000"/>
                <w:sz w:val="22"/>
              </w:rPr>
              <w:t>2210203</w:t>
            </w:r>
            <w:r>
              <w:rPr>
                <w:rFonts w:ascii="宋体" w:hAnsi="宋体" w:cs="宋体"/>
                <w:color w:val="000000"/>
                <w:sz w:val="22"/>
              </w:rPr>
              <w:tab/>
            </w:r>
            <w:r>
              <w:rPr>
                <w:rFonts w:ascii="宋体" w:hAnsi="宋体" w:cs="宋体"/>
                <w:color w:val="000000"/>
                <w:sz w:val="22"/>
              </w:rPr>
              <w:tab/>
            </w:r>
          </w:p>
        </w:tc>
        <w:tc>
          <w:tcPr>
            <w:tcW w:w="4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sz w:val="22"/>
              </w:rPr>
              <w:t>购房补贴</w:t>
            </w:r>
          </w:p>
        </w:tc>
        <w:tc>
          <w:tcPr>
            <w:tcW w:w="1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116999.7</w:t>
            </w:r>
          </w:p>
        </w:tc>
        <w:tc>
          <w:tcPr>
            <w:tcW w:w="1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hint="eastAsia" w:ascii="宋体" w:hAnsi="宋体" w:cs="宋体"/>
                <w:color w:val="000000"/>
                <w:sz w:val="22"/>
              </w:rPr>
              <w:t>116999.70</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color w:val="000000"/>
                <w:kern w:val="0"/>
                <w:sz w:val="22"/>
              </w:rPr>
            </w:pPr>
            <w:r>
              <w:rPr>
                <w:color w:val="000000"/>
                <w:kern w:val="0"/>
                <w:sz w:val="22"/>
              </w:rPr>
              <w:t>0.00</w:t>
            </w:r>
          </w:p>
        </w:tc>
      </w:tr>
    </w:tbl>
    <w:p>
      <w:pPr>
        <w:widowControl/>
        <w:jc w:val="left"/>
        <w:rPr>
          <w:rFonts w:eastAsia="黑体"/>
          <w:b/>
          <w:bCs/>
          <w:color w:val="000000"/>
          <w:kern w:val="0"/>
          <w:sz w:val="40"/>
          <w:szCs w:val="40"/>
        </w:rPr>
      </w:pPr>
      <w:r>
        <w:rPr>
          <w:rFonts w:hint="eastAsia" w:eastAsia="黑体"/>
          <w:b/>
          <w:bCs/>
          <w:color w:val="000000"/>
          <w:kern w:val="0"/>
          <w:sz w:val="40"/>
          <w:szCs w:val="40"/>
        </w:rPr>
        <w:t>0</w:t>
      </w:r>
    </w:p>
    <w:tbl>
      <w:tblPr>
        <w:tblStyle w:val="9"/>
        <w:tblpPr w:leftFromText="180" w:rightFromText="180" w:vertAnchor="text" w:tblpX="404" w:tblpY="1"/>
        <w:tblOverlap w:val="never"/>
        <w:tblW w:w="14865" w:type="dxa"/>
        <w:tblInd w:w="0" w:type="dxa"/>
        <w:tblLayout w:type="fixed"/>
        <w:tblCellMar>
          <w:top w:w="0" w:type="dxa"/>
          <w:left w:w="108" w:type="dxa"/>
          <w:bottom w:w="0" w:type="dxa"/>
          <w:right w:w="108" w:type="dxa"/>
        </w:tblCellMar>
      </w:tblPr>
      <w:tblGrid>
        <w:gridCol w:w="432"/>
        <w:gridCol w:w="432"/>
        <w:gridCol w:w="529"/>
        <w:gridCol w:w="3908"/>
        <w:gridCol w:w="1932"/>
        <w:gridCol w:w="1822"/>
        <w:gridCol w:w="1896"/>
        <w:gridCol w:w="1149"/>
        <w:gridCol w:w="1111"/>
        <w:gridCol w:w="1654"/>
      </w:tblGrid>
      <w:tr>
        <w:tblPrEx>
          <w:tblCellMar>
            <w:top w:w="0" w:type="dxa"/>
            <w:left w:w="108" w:type="dxa"/>
            <w:bottom w:w="0" w:type="dxa"/>
            <w:right w:w="108" w:type="dxa"/>
          </w:tblCellMar>
        </w:tblPrEx>
        <w:trPr>
          <w:trHeight w:val="242" w:hRule="atLeast"/>
        </w:trPr>
        <w:tc>
          <w:tcPr>
            <w:tcW w:w="14865" w:type="dxa"/>
            <w:gridSpan w:val="10"/>
            <w:tcBorders>
              <w:top w:val="nil"/>
              <w:left w:val="nil"/>
              <w:bottom w:val="nil"/>
              <w:right w:val="nil"/>
            </w:tcBorders>
            <w:vAlign w:val="bottom"/>
          </w:tcPr>
          <w:p>
            <w:pPr>
              <w:widowControl/>
              <w:jc w:val="center"/>
              <w:rPr>
                <w:b/>
                <w:bCs/>
                <w:color w:val="000000"/>
                <w:kern w:val="0"/>
                <w:sz w:val="36"/>
                <w:szCs w:val="36"/>
              </w:rPr>
            </w:pPr>
          </w:p>
          <w:p>
            <w:pPr>
              <w:widowControl/>
              <w:jc w:val="center"/>
              <w:rPr>
                <w:b/>
                <w:bCs/>
                <w:color w:val="000000"/>
                <w:kern w:val="0"/>
                <w:sz w:val="36"/>
                <w:szCs w:val="36"/>
              </w:rPr>
            </w:pPr>
          </w:p>
          <w:p>
            <w:pPr>
              <w:widowControl/>
              <w:jc w:val="center"/>
              <w:rPr>
                <w:color w:val="000000"/>
                <w:kern w:val="0"/>
                <w:sz w:val="44"/>
                <w:szCs w:val="44"/>
              </w:rPr>
            </w:pPr>
            <w:r>
              <w:rPr>
                <w:b/>
                <w:bCs/>
                <w:color w:val="000000"/>
                <w:kern w:val="0"/>
                <w:sz w:val="36"/>
                <w:szCs w:val="36"/>
              </w:rPr>
              <w:t>支出决算表</w:t>
            </w:r>
          </w:p>
        </w:tc>
      </w:tr>
      <w:tr>
        <w:tblPrEx>
          <w:tblCellMar>
            <w:top w:w="0" w:type="dxa"/>
            <w:left w:w="108" w:type="dxa"/>
            <w:bottom w:w="0" w:type="dxa"/>
            <w:right w:w="108" w:type="dxa"/>
          </w:tblCellMar>
        </w:tblPrEx>
        <w:trPr>
          <w:trHeight w:val="172" w:hRule="atLeast"/>
        </w:trPr>
        <w:tc>
          <w:tcPr>
            <w:tcW w:w="5301" w:type="dxa"/>
            <w:gridSpan w:val="4"/>
            <w:tcBorders>
              <w:top w:val="nil"/>
              <w:left w:val="nil"/>
              <w:bottom w:val="single" w:color="000000" w:sz="8" w:space="0"/>
              <w:right w:val="nil"/>
            </w:tcBorders>
            <w:vAlign w:val="bottom"/>
          </w:tcPr>
          <w:p>
            <w:pPr>
              <w:widowControl/>
              <w:jc w:val="left"/>
              <w:rPr>
                <w:color w:val="000000"/>
                <w:kern w:val="0"/>
                <w:sz w:val="24"/>
              </w:rPr>
            </w:pPr>
            <w:r>
              <w:rPr>
                <w:color w:val="000000"/>
                <w:kern w:val="0"/>
                <w:sz w:val="24"/>
              </w:rPr>
              <w:t>公开部门：</w:t>
            </w:r>
          </w:p>
        </w:tc>
        <w:tc>
          <w:tcPr>
            <w:tcW w:w="1932" w:type="dxa"/>
            <w:tcBorders>
              <w:top w:val="nil"/>
              <w:left w:val="nil"/>
              <w:bottom w:val="single" w:color="000000" w:sz="8" w:space="0"/>
              <w:right w:val="nil"/>
            </w:tcBorders>
            <w:vAlign w:val="bottom"/>
          </w:tcPr>
          <w:p>
            <w:pPr>
              <w:widowControl/>
              <w:jc w:val="left"/>
              <w:rPr>
                <w:color w:val="000000"/>
                <w:kern w:val="0"/>
                <w:sz w:val="20"/>
              </w:rPr>
            </w:pPr>
          </w:p>
        </w:tc>
        <w:tc>
          <w:tcPr>
            <w:tcW w:w="1822" w:type="dxa"/>
            <w:tcBorders>
              <w:top w:val="nil"/>
              <w:left w:val="nil"/>
              <w:bottom w:val="single" w:color="000000" w:sz="8" w:space="0"/>
              <w:right w:val="nil"/>
            </w:tcBorders>
            <w:vAlign w:val="bottom"/>
          </w:tcPr>
          <w:p>
            <w:pPr>
              <w:widowControl/>
              <w:jc w:val="center"/>
              <w:rPr>
                <w:color w:val="000000"/>
                <w:kern w:val="0"/>
                <w:sz w:val="24"/>
              </w:rPr>
            </w:pPr>
          </w:p>
        </w:tc>
        <w:tc>
          <w:tcPr>
            <w:tcW w:w="1896" w:type="dxa"/>
            <w:tcBorders>
              <w:top w:val="nil"/>
              <w:left w:val="nil"/>
              <w:bottom w:val="single" w:color="000000" w:sz="8" w:space="0"/>
              <w:right w:val="nil"/>
            </w:tcBorders>
            <w:vAlign w:val="bottom"/>
          </w:tcPr>
          <w:p>
            <w:pPr>
              <w:widowControl/>
              <w:jc w:val="left"/>
              <w:rPr>
                <w:color w:val="000000"/>
                <w:kern w:val="0"/>
                <w:sz w:val="20"/>
              </w:rPr>
            </w:pPr>
          </w:p>
        </w:tc>
        <w:tc>
          <w:tcPr>
            <w:tcW w:w="1149" w:type="dxa"/>
            <w:tcBorders>
              <w:top w:val="nil"/>
              <w:left w:val="nil"/>
              <w:bottom w:val="single" w:color="000000" w:sz="8" w:space="0"/>
              <w:right w:val="nil"/>
            </w:tcBorders>
            <w:vAlign w:val="bottom"/>
          </w:tcPr>
          <w:p>
            <w:pPr>
              <w:widowControl/>
              <w:jc w:val="left"/>
              <w:rPr>
                <w:color w:val="000000"/>
                <w:kern w:val="0"/>
                <w:sz w:val="20"/>
              </w:rPr>
            </w:pPr>
          </w:p>
        </w:tc>
        <w:tc>
          <w:tcPr>
            <w:tcW w:w="1111" w:type="dxa"/>
            <w:tcBorders>
              <w:top w:val="nil"/>
              <w:left w:val="nil"/>
              <w:bottom w:val="single" w:color="000000" w:sz="8" w:space="0"/>
              <w:right w:val="nil"/>
            </w:tcBorders>
            <w:vAlign w:val="bottom"/>
          </w:tcPr>
          <w:p>
            <w:pPr>
              <w:widowControl/>
              <w:jc w:val="left"/>
              <w:rPr>
                <w:color w:val="000000"/>
                <w:kern w:val="0"/>
                <w:sz w:val="20"/>
              </w:rPr>
            </w:pPr>
            <w:r>
              <w:rPr>
                <w:color w:val="000000"/>
                <w:kern w:val="0"/>
                <w:sz w:val="18"/>
                <w:szCs w:val="18"/>
              </w:rPr>
              <w:t>公开03表</w:t>
            </w:r>
          </w:p>
        </w:tc>
        <w:tc>
          <w:tcPr>
            <w:tcW w:w="1654" w:type="dxa"/>
            <w:tcBorders>
              <w:top w:val="nil"/>
              <w:left w:val="nil"/>
              <w:bottom w:val="single" w:color="000000" w:sz="8" w:space="0"/>
              <w:right w:val="nil"/>
            </w:tcBorders>
            <w:vAlign w:val="bottom"/>
          </w:tcPr>
          <w:p>
            <w:pPr>
              <w:widowControl/>
              <w:jc w:val="right"/>
              <w:rPr>
                <w:color w:val="000000"/>
                <w:kern w:val="0"/>
                <w:sz w:val="18"/>
                <w:szCs w:val="18"/>
              </w:rPr>
            </w:pPr>
            <w:r>
              <w:rPr>
                <w:color w:val="000000"/>
                <w:kern w:val="0"/>
                <w:sz w:val="18"/>
                <w:szCs w:val="18"/>
              </w:rPr>
              <w:t>金额单位：元</w:t>
            </w:r>
          </w:p>
        </w:tc>
      </w:tr>
      <w:tr>
        <w:tblPrEx>
          <w:tblCellMar>
            <w:top w:w="0" w:type="dxa"/>
            <w:left w:w="108" w:type="dxa"/>
            <w:bottom w:w="0" w:type="dxa"/>
            <w:right w:w="108" w:type="dxa"/>
          </w:tblCellMar>
        </w:tblPrEx>
        <w:trPr>
          <w:trHeight w:val="168" w:hRule="atLeast"/>
        </w:trPr>
        <w:tc>
          <w:tcPr>
            <w:tcW w:w="5301" w:type="dxa"/>
            <w:gridSpan w:val="4"/>
            <w:tcBorders>
              <w:top w:val="single" w:color="000000" w:sz="8" w:space="0"/>
              <w:left w:val="single" w:color="000000" w:sz="8" w:space="0"/>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项目</w:t>
            </w:r>
          </w:p>
        </w:tc>
        <w:tc>
          <w:tcPr>
            <w:tcW w:w="1932" w:type="dxa"/>
            <w:vMerge w:val="restart"/>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本年支出合计</w:t>
            </w:r>
          </w:p>
        </w:tc>
        <w:tc>
          <w:tcPr>
            <w:tcW w:w="1822" w:type="dxa"/>
            <w:vMerge w:val="restart"/>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基本支出</w:t>
            </w:r>
          </w:p>
        </w:tc>
        <w:tc>
          <w:tcPr>
            <w:tcW w:w="1896" w:type="dxa"/>
            <w:vMerge w:val="restart"/>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项目支出</w:t>
            </w:r>
          </w:p>
        </w:tc>
        <w:tc>
          <w:tcPr>
            <w:tcW w:w="1149" w:type="dxa"/>
            <w:vMerge w:val="restart"/>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上缴上级支出</w:t>
            </w:r>
          </w:p>
        </w:tc>
        <w:tc>
          <w:tcPr>
            <w:tcW w:w="1111" w:type="dxa"/>
            <w:vMerge w:val="restart"/>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经营支出</w:t>
            </w:r>
          </w:p>
        </w:tc>
        <w:tc>
          <w:tcPr>
            <w:tcW w:w="1654" w:type="dxa"/>
            <w:vMerge w:val="restart"/>
            <w:tcBorders>
              <w:top w:val="single" w:color="000000" w:sz="8" w:space="0"/>
              <w:left w:val="nil"/>
              <w:bottom w:val="single" w:color="000000" w:sz="4" w:space="0"/>
              <w:right w:val="single" w:color="000000" w:sz="8" w:space="0"/>
            </w:tcBorders>
            <w:shd w:val="clear" w:color="auto" w:fill="D8D8D8" w:themeFill="background1" w:themeFillShade="D9"/>
            <w:vAlign w:val="center"/>
          </w:tcPr>
          <w:p>
            <w:pPr>
              <w:widowControl/>
              <w:jc w:val="center"/>
              <w:rPr>
                <w:color w:val="000000"/>
                <w:kern w:val="0"/>
                <w:sz w:val="22"/>
              </w:rPr>
            </w:pPr>
            <w:r>
              <w:rPr>
                <w:color w:val="000000"/>
                <w:kern w:val="0"/>
                <w:sz w:val="22"/>
              </w:rPr>
              <w:t>对附属单位补助支出</w:t>
            </w:r>
          </w:p>
        </w:tc>
      </w:tr>
      <w:tr>
        <w:tblPrEx>
          <w:tblCellMar>
            <w:top w:w="0" w:type="dxa"/>
            <w:left w:w="108" w:type="dxa"/>
            <w:bottom w:w="0" w:type="dxa"/>
            <w:right w:w="108" w:type="dxa"/>
          </w:tblCellMar>
        </w:tblPrEx>
        <w:trPr>
          <w:trHeight w:val="321" w:hRule="atLeast"/>
        </w:trPr>
        <w:tc>
          <w:tcPr>
            <w:tcW w:w="1393" w:type="dxa"/>
            <w:gridSpan w:val="3"/>
            <w:vMerge w:val="restart"/>
            <w:tcBorders>
              <w:top w:val="single" w:color="000000" w:sz="4" w:space="0"/>
              <w:left w:val="single" w:color="000000" w:sz="8" w:space="0"/>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功能分类科目编码</w:t>
            </w:r>
          </w:p>
        </w:tc>
        <w:tc>
          <w:tcPr>
            <w:tcW w:w="3908" w:type="dxa"/>
            <w:vMerge w:val="restart"/>
            <w:tcBorders>
              <w:top w:val="nil"/>
              <w:left w:val="nil"/>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科目名称</w:t>
            </w:r>
          </w:p>
        </w:tc>
        <w:tc>
          <w:tcPr>
            <w:tcW w:w="1932" w:type="dxa"/>
            <w:vMerge w:val="continue"/>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822" w:type="dxa"/>
            <w:vMerge w:val="continue"/>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896" w:type="dxa"/>
            <w:vMerge w:val="continue"/>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149" w:type="dxa"/>
            <w:vMerge w:val="continue"/>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111" w:type="dxa"/>
            <w:vMerge w:val="continue"/>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654" w:type="dxa"/>
            <w:vMerge w:val="continue"/>
            <w:tcBorders>
              <w:top w:val="single" w:color="000000" w:sz="8" w:space="0"/>
              <w:left w:val="nil"/>
              <w:bottom w:val="single" w:color="000000" w:sz="4" w:space="0"/>
              <w:right w:val="single" w:color="000000" w:sz="8" w:space="0"/>
            </w:tcBorders>
            <w:shd w:val="clear" w:color="auto" w:fill="D8D8D8" w:themeFill="background1" w:themeFillShade="D9"/>
            <w:vAlign w:val="center"/>
          </w:tcPr>
          <w:p>
            <w:pPr>
              <w:widowControl/>
              <w:jc w:val="left"/>
              <w:rPr>
                <w:color w:val="000000"/>
                <w:kern w:val="0"/>
                <w:sz w:val="22"/>
              </w:rPr>
            </w:pPr>
          </w:p>
        </w:tc>
      </w:tr>
      <w:tr>
        <w:tblPrEx>
          <w:tblCellMar>
            <w:top w:w="0" w:type="dxa"/>
            <w:left w:w="108" w:type="dxa"/>
            <w:bottom w:w="0" w:type="dxa"/>
            <w:right w:w="108" w:type="dxa"/>
          </w:tblCellMar>
        </w:tblPrEx>
        <w:trPr>
          <w:trHeight w:val="321" w:hRule="atLeast"/>
        </w:trPr>
        <w:tc>
          <w:tcPr>
            <w:tcW w:w="1393" w:type="dxa"/>
            <w:gridSpan w:val="3"/>
            <w:vMerge w:val="continue"/>
            <w:tcBorders>
              <w:top w:val="single" w:color="000000" w:sz="4" w:space="0"/>
              <w:left w:val="single" w:color="000000" w:sz="8" w:space="0"/>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3908" w:type="dxa"/>
            <w:vMerge w:val="continue"/>
            <w:tcBorders>
              <w:top w:val="nil"/>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932" w:type="dxa"/>
            <w:vMerge w:val="continue"/>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822" w:type="dxa"/>
            <w:vMerge w:val="continue"/>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896" w:type="dxa"/>
            <w:vMerge w:val="continue"/>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149" w:type="dxa"/>
            <w:vMerge w:val="continue"/>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111" w:type="dxa"/>
            <w:vMerge w:val="continue"/>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654" w:type="dxa"/>
            <w:vMerge w:val="continue"/>
            <w:tcBorders>
              <w:top w:val="single" w:color="000000" w:sz="8" w:space="0"/>
              <w:left w:val="nil"/>
              <w:bottom w:val="single" w:color="000000" w:sz="4" w:space="0"/>
              <w:right w:val="single" w:color="000000" w:sz="8" w:space="0"/>
            </w:tcBorders>
            <w:shd w:val="clear" w:color="auto" w:fill="D8D8D8" w:themeFill="background1" w:themeFillShade="D9"/>
            <w:vAlign w:val="center"/>
          </w:tcPr>
          <w:p>
            <w:pPr>
              <w:widowControl/>
              <w:jc w:val="left"/>
              <w:rPr>
                <w:color w:val="000000"/>
                <w:kern w:val="0"/>
                <w:sz w:val="22"/>
              </w:rPr>
            </w:pPr>
          </w:p>
        </w:tc>
      </w:tr>
      <w:tr>
        <w:tblPrEx>
          <w:tblCellMar>
            <w:top w:w="0" w:type="dxa"/>
            <w:left w:w="108" w:type="dxa"/>
            <w:bottom w:w="0" w:type="dxa"/>
            <w:right w:w="108" w:type="dxa"/>
          </w:tblCellMar>
        </w:tblPrEx>
        <w:trPr>
          <w:trHeight w:val="321" w:hRule="atLeast"/>
        </w:trPr>
        <w:tc>
          <w:tcPr>
            <w:tcW w:w="1393" w:type="dxa"/>
            <w:gridSpan w:val="3"/>
            <w:vMerge w:val="continue"/>
            <w:tcBorders>
              <w:top w:val="single" w:color="000000" w:sz="4" w:space="0"/>
              <w:left w:val="single" w:color="000000" w:sz="8" w:space="0"/>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3908" w:type="dxa"/>
            <w:vMerge w:val="continue"/>
            <w:tcBorders>
              <w:top w:val="nil"/>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932" w:type="dxa"/>
            <w:vMerge w:val="continue"/>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822" w:type="dxa"/>
            <w:vMerge w:val="continue"/>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896" w:type="dxa"/>
            <w:vMerge w:val="continue"/>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149" w:type="dxa"/>
            <w:vMerge w:val="continue"/>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111" w:type="dxa"/>
            <w:vMerge w:val="continue"/>
            <w:tcBorders>
              <w:top w:val="single" w:color="000000" w:sz="8" w:space="0"/>
              <w:left w:val="nil"/>
              <w:bottom w:val="single" w:color="000000" w:sz="4" w:space="0"/>
              <w:right w:val="single" w:color="000000" w:sz="4" w:space="0"/>
            </w:tcBorders>
            <w:shd w:val="clear" w:color="auto" w:fill="D8D8D8" w:themeFill="background1" w:themeFillShade="D9"/>
            <w:vAlign w:val="center"/>
          </w:tcPr>
          <w:p>
            <w:pPr>
              <w:widowControl/>
              <w:jc w:val="left"/>
              <w:rPr>
                <w:color w:val="000000"/>
                <w:kern w:val="0"/>
                <w:sz w:val="22"/>
              </w:rPr>
            </w:pPr>
          </w:p>
        </w:tc>
        <w:tc>
          <w:tcPr>
            <w:tcW w:w="1654" w:type="dxa"/>
            <w:vMerge w:val="continue"/>
            <w:tcBorders>
              <w:top w:val="single" w:color="000000" w:sz="8" w:space="0"/>
              <w:left w:val="nil"/>
              <w:bottom w:val="single" w:color="000000" w:sz="4" w:space="0"/>
              <w:right w:val="single" w:color="000000" w:sz="8" w:space="0"/>
            </w:tcBorders>
            <w:shd w:val="clear" w:color="auto" w:fill="D8D8D8" w:themeFill="background1" w:themeFillShade="D9"/>
            <w:vAlign w:val="center"/>
          </w:tcPr>
          <w:p>
            <w:pPr>
              <w:widowControl/>
              <w:jc w:val="left"/>
              <w:rPr>
                <w:color w:val="000000"/>
                <w:kern w:val="0"/>
                <w:sz w:val="22"/>
              </w:rPr>
            </w:pPr>
          </w:p>
        </w:tc>
      </w:tr>
      <w:tr>
        <w:tblPrEx>
          <w:tblCellMar>
            <w:top w:w="0" w:type="dxa"/>
            <w:left w:w="108" w:type="dxa"/>
            <w:bottom w:w="0" w:type="dxa"/>
            <w:right w:w="108" w:type="dxa"/>
          </w:tblCellMar>
        </w:tblPrEx>
        <w:trPr>
          <w:trHeight w:val="168" w:hRule="atLeast"/>
        </w:trPr>
        <w:tc>
          <w:tcPr>
            <w:tcW w:w="432" w:type="dxa"/>
            <w:vMerge w:val="restart"/>
            <w:tcBorders>
              <w:top w:val="nil"/>
              <w:left w:val="single" w:color="000000" w:sz="8" w:space="0"/>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类</w:t>
            </w:r>
          </w:p>
        </w:tc>
        <w:tc>
          <w:tcPr>
            <w:tcW w:w="432" w:type="dxa"/>
            <w:vMerge w:val="restart"/>
            <w:tcBorders>
              <w:top w:val="nil"/>
              <w:left w:val="nil"/>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款</w:t>
            </w:r>
          </w:p>
        </w:tc>
        <w:tc>
          <w:tcPr>
            <w:tcW w:w="529" w:type="dxa"/>
            <w:vMerge w:val="restart"/>
            <w:tcBorders>
              <w:top w:val="nil"/>
              <w:left w:val="nil"/>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项</w:t>
            </w:r>
          </w:p>
        </w:tc>
        <w:tc>
          <w:tcPr>
            <w:tcW w:w="3908" w:type="dxa"/>
            <w:tcBorders>
              <w:top w:val="nil"/>
              <w:left w:val="nil"/>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栏次</w:t>
            </w:r>
          </w:p>
        </w:tc>
        <w:tc>
          <w:tcPr>
            <w:tcW w:w="1932" w:type="dxa"/>
            <w:tcBorders>
              <w:top w:val="nil"/>
              <w:left w:val="nil"/>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1</w:t>
            </w:r>
          </w:p>
        </w:tc>
        <w:tc>
          <w:tcPr>
            <w:tcW w:w="1822" w:type="dxa"/>
            <w:tcBorders>
              <w:top w:val="nil"/>
              <w:left w:val="nil"/>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2</w:t>
            </w:r>
          </w:p>
        </w:tc>
        <w:tc>
          <w:tcPr>
            <w:tcW w:w="1896" w:type="dxa"/>
            <w:tcBorders>
              <w:top w:val="nil"/>
              <w:left w:val="nil"/>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3</w:t>
            </w:r>
          </w:p>
        </w:tc>
        <w:tc>
          <w:tcPr>
            <w:tcW w:w="1149" w:type="dxa"/>
            <w:tcBorders>
              <w:top w:val="nil"/>
              <w:left w:val="nil"/>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4</w:t>
            </w:r>
          </w:p>
        </w:tc>
        <w:tc>
          <w:tcPr>
            <w:tcW w:w="1111" w:type="dxa"/>
            <w:tcBorders>
              <w:top w:val="nil"/>
              <w:left w:val="nil"/>
              <w:bottom w:val="single" w:color="000000" w:sz="4" w:space="0"/>
              <w:right w:val="single" w:color="000000" w:sz="4" w:space="0"/>
            </w:tcBorders>
            <w:shd w:val="clear" w:color="auto" w:fill="D8D8D8" w:themeFill="background1" w:themeFillShade="D9"/>
            <w:vAlign w:val="center"/>
          </w:tcPr>
          <w:p>
            <w:pPr>
              <w:widowControl/>
              <w:jc w:val="center"/>
              <w:rPr>
                <w:color w:val="000000"/>
                <w:kern w:val="0"/>
                <w:sz w:val="22"/>
              </w:rPr>
            </w:pPr>
            <w:r>
              <w:rPr>
                <w:color w:val="000000"/>
                <w:kern w:val="0"/>
                <w:sz w:val="22"/>
              </w:rPr>
              <w:t>5</w:t>
            </w:r>
          </w:p>
        </w:tc>
        <w:tc>
          <w:tcPr>
            <w:tcW w:w="1654" w:type="dxa"/>
            <w:tcBorders>
              <w:top w:val="nil"/>
              <w:left w:val="nil"/>
              <w:bottom w:val="single" w:color="000000" w:sz="4" w:space="0"/>
              <w:right w:val="single" w:color="000000" w:sz="8" w:space="0"/>
            </w:tcBorders>
            <w:shd w:val="clear" w:color="auto" w:fill="D8D8D8" w:themeFill="background1" w:themeFillShade="D9"/>
            <w:vAlign w:val="center"/>
          </w:tcPr>
          <w:p>
            <w:pPr>
              <w:widowControl/>
              <w:jc w:val="center"/>
              <w:rPr>
                <w:color w:val="000000"/>
                <w:kern w:val="0"/>
                <w:sz w:val="22"/>
              </w:rPr>
            </w:pPr>
            <w:r>
              <w:rPr>
                <w:color w:val="000000"/>
                <w:kern w:val="0"/>
                <w:sz w:val="22"/>
              </w:rPr>
              <w:t>6</w:t>
            </w:r>
          </w:p>
        </w:tc>
      </w:tr>
      <w:tr>
        <w:tblPrEx>
          <w:tblCellMar>
            <w:top w:w="0" w:type="dxa"/>
            <w:left w:w="108" w:type="dxa"/>
            <w:bottom w:w="0" w:type="dxa"/>
            <w:right w:w="108" w:type="dxa"/>
          </w:tblCellMar>
        </w:tblPrEx>
        <w:trPr>
          <w:trHeight w:val="168" w:hRule="atLeast"/>
        </w:trPr>
        <w:tc>
          <w:tcPr>
            <w:tcW w:w="432" w:type="dxa"/>
            <w:vMerge w:val="continue"/>
            <w:tcBorders>
              <w:top w:val="nil"/>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32" w:type="dxa"/>
            <w:vMerge w:val="continue"/>
            <w:tcBorders>
              <w:top w:val="nil"/>
              <w:left w:val="nil"/>
              <w:bottom w:val="single" w:color="000000" w:sz="4" w:space="0"/>
              <w:right w:val="single" w:color="000000" w:sz="4" w:space="0"/>
            </w:tcBorders>
            <w:vAlign w:val="center"/>
          </w:tcPr>
          <w:p>
            <w:pPr>
              <w:widowControl/>
              <w:jc w:val="left"/>
              <w:rPr>
                <w:color w:val="000000"/>
                <w:kern w:val="0"/>
                <w:sz w:val="22"/>
              </w:rPr>
            </w:pPr>
          </w:p>
        </w:tc>
        <w:tc>
          <w:tcPr>
            <w:tcW w:w="529" w:type="dxa"/>
            <w:vMerge w:val="continue"/>
            <w:tcBorders>
              <w:top w:val="nil"/>
              <w:left w:val="nil"/>
              <w:bottom w:val="single" w:color="000000" w:sz="4" w:space="0"/>
              <w:right w:val="single" w:color="000000" w:sz="4" w:space="0"/>
            </w:tcBorders>
            <w:vAlign w:val="center"/>
          </w:tcPr>
          <w:p>
            <w:pPr>
              <w:widowControl/>
              <w:jc w:val="left"/>
              <w:rPr>
                <w:color w:val="000000"/>
                <w:kern w:val="0"/>
                <w:sz w:val="22"/>
              </w:rPr>
            </w:pPr>
          </w:p>
        </w:tc>
        <w:tc>
          <w:tcPr>
            <w:tcW w:w="3908" w:type="dxa"/>
            <w:tcBorders>
              <w:top w:val="nil"/>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合计</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292587580.40</w:t>
            </w:r>
            <w:r>
              <w:rPr>
                <w:color w:val="000000"/>
                <w:kern w:val="0"/>
                <w:sz w:val="22"/>
              </w:rPr>
              <w:t>　</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16705660.61</w:t>
            </w:r>
            <w:r>
              <w:rPr>
                <w:color w:val="000000"/>
                <w:kern w:val="0"/>
                <w:sz w:val="22"/>
              </w:rPr>
              <w:t>　</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275881919.79</w:t>
            </w:r>
            <w:r>
              <w:rPr>
                <w:color w:val="000000"/>
                <w:kern w:val="0"/>
                <w:sz w:val="22"/>
              </w:rPr>
              <w:t>　</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color w:val="000000"/>
                <w:kern w:val="0"/>
                <w:sz w:val="22"/>
              </w:rPr>
              <w:t>201</w:t>
            </w:r>
            <w:r>
              <w:rPr>
                <w:color w:val="000000"/>
                <w:kern w:val="0"/>
                <w:sz w:val="22"/>
              </w:rPr>
              <w:tab/>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color w:val="000000"/>
                <w:kern w:val="0"/>
                <w:sz w:val="22"/>
              </w:rPr>
              <w:t>　</w:t>
            </w:r>
            <w:r>
              <w:rPr>
                <w:rFonts w:hint="eastAsia"/>
                <w:color w:val="000000"/>
                <w:kern w:val="0"/>
                <w:sz w:val="22"/>
              </w:rPr>
              <w:t>一般公共服务支出</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233351344.24</w:t>
            </w:r>
            <w:r>
              <w:rPr>
                <w:color w:val="000000"/>
                <w:kern w:val="0"/>
                <w:sz w:val="22"/>
              </w:rPr>
              <w:t>　</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13107424.57</w:t>
            </w:r>
            <w:r>
              <w:rPr>
                <w:color w:val="000000"/>
                <w:kern w:val="0"/>
                <w:sz w:val="22"/>
              </w:rPr>
              <w:t>　</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220243919.67</w:t>
            </w:r>
            <w:r>
              <w:rPr>
                <w:color w:val="000000"/>
                <w:kern w:val="0"/>
                <w:sz w:val="22"/>
              </w:rPr>
              <w:t>　</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color w:val="000000"/>
                <w:kern w:val="0"/>
                <w:sz w:val="22"/>
              </w:rPr>
              <w:t>2010</w:t>
            </w:r>
            <w:r>
              <w:rPr>
                <w:rFonts w:hint="eastAsia"/>
                <w:color w:val="000000"/>
                <w:kern w:val="0"/>
                <w:sz w:val="22"/>
              </w:rPr>
              <w:t>2</w:t>
            </w:r>
            <w:r>
              <w:rPr>
                <w:color w:val="000000"/>
                <w:kern w:val="0"/>
                <w:sz w:val="22"/>
              </w:rPr>
              <w:tab/>
            </w:r>
          </w:p>
        </w:tc>
        <w:tc>
          <w:tcPr>
            <w:tcW w:w="3908"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政协事务</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625499.22</w:t>
            </w:r>
            <w:r>
              <w:rPr>
                <w:color w:val="000000"/>
                <w:kern w:val="0"/>
                <w:sz w:val="22"/>
              </w:rPr>
              <w:t>　</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0.00</w:t>
            </w:r>
            <w:r>
              <w:rPr>
                <w:color w:val="000000"/>
                <w:kern w:val="0"/>
                <w:sz w:val="22"/>
              </w:rPr>
              <w:t>　</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625499.22</w:t>
            </w:r>
            <w:r>
              <w:rPr>
                <w:color w:val="000000"/>
                <w:kern w:val="0"/>
                <w:sz w:val="22"/>
              </w:rPr>
              <w:t>　</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color w:val="000000"/>
                <w:kern w:val="0"/>
                <w:sz w:val="22"/>
              </w:rPr>
              <w:t>2010</w:t>
            </w:r>
            <w:r>
              <w:rPr>
                <w:rFonts w:hint="eastAsia"/>
                <w:color w:val="000000"/>
                <w:kern w:val="0"/>
                <w:sz w:val="22"/>
              </w:rPr>
              <w:t>2</w:t>
            </w:r>
            <w:r>
              <w:rPr>
                <w:color w:val="000000"/>
                <w:kern w:val="0"/>
                <w:sz w:val="22"/>
              </w:rPr>
              <w:t>99</w:t>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其他政协事务支出</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625499.22</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625499.22</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color w:val="000000"/>
                <w:kern w:val="0"/>
                <w:sz w:val="22"/>
              </w:rPr>
              <w:t>20</w:t>
            </w:r>
            <w:r>
              <w:rPr>
                <w:rFonts w:hint="eastAsia"/>
                <w:color w:val="000000"/>
                <w:kern w:val="0"/>
                <w:sz w:val="22"/>
              </w:rPr>
              <w:t>103</w:t>
            </w:r>
            <w:r>
              <w:rPr>
                <w:color w:val="000000"/>
                <w:kern w:val="0"/>
                <w:sz w:val="22"/>
              </w:rPr>
              <w:tab/>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政府办公厅（室）及相关机构事务</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228330927.38</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13096017.17</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215234910.21</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2010301</w:t>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color w:val="000000"/>
                <w:kern w:val="0"/>
                <w:sz w:val="22"/>
              </w:rPr>
              <w:t>　</w:t>
            </w:r>
            <w:r>
              <w:rPr>
                <w:rFonts w:hint="eastAsia"/>
                <w:color w:val="000000"/>
                <w:kern w:val="0"/>
                <w:sz w:val="22"/>
              </w:rPr>
              <w:t>组织事务</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963,461.78　</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13091017.17</w:t>
            </w:r>
            <w:r>
              <w:rPr>
                <w:color w:val="000000"/>
                <w:kern w:val="0"/>
                <w:sz w:val="22"/>
              </w:rPr>
              <w:t>　</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0.00</w:t>
            </w:r>
            <w:r>
              <w:rPr>
                <w:color w:val="000000"/>
                <w:kern w:val="0"/>
                <w:sz w:val="22"/>
              </w:rPr>
              <w:t>　</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2010302</w:t>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一般行政管理事务</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1722847.94</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896" w:type="dxa"/>
            <w:tcBorders>
              <w:top w:val="nil"/>
              <w:left w:val="nil"/>
              <w:bottom w:val="single" w:color="000000" w:sz="4" w:space="0"/>
              <w:right w:val="single" w:color="000000" w:sz="4" w:space="0"/>
            </w:tcBorders>
            <w:vAlign w:val="center"/>
          </w:tcPr>
          <w:p>
            <w:pPr>
              <w:widowControl/>
              <w:wordWrap w:val="0"/>
              <w:jc w:val="right"/>
              <w:rPr>
                <w:color w:val="000000"/>
                <w:kern w:val="0"/>
                <w:sz w:val="22"/>
              </w:rPr>
            </w:pPr>
            <w:r>
              <w:rPr>
                <w:rFonts w:hint="eastAsia"/>
                <w:color w:val="000000"/>
                <w:kern w:val="0"/>
                <w:sz w:val="22"/>
              </w:rPr>
              <w:t xml:space="preserve">  1722847.94</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2010399</w:t>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18"/>
                <w:szCs w:val="18"/>
              </w:rPr>
              <w:t>其他政府办公厅（室）及相关机构事务支出</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213517062.27</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5000.00</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213512062.27</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color w:val="000000"/>
                <w:kern w:val="0"/>
                <w:sz w:val="22"/>
              </w:rPr>
              <w:t>2013</w:t>
            </w:r>
            <w:r>
              <w:rPr>
                <w:rFonts w:hint="eastAsia"/>
                <w:color w:val="000000"/>
                <w:kern w:val="0"/>
                <w:sz w:val="22"/>
              </w:rPr>
              <w:t>2</w:t>
            </w:r>
            <w:r>
              <w:rPr>
                <w:color w:val="000000"/>
                <w:kern w:val="0"/>
                <w:sz w:val="22"/>
              </w:rPr>
              <w:tab/>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组织事务</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4044917.64</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11407.40</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4033510.24</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2013202</w:t>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 xml:space="preserve"> 一般行政管理事务</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2081198.60</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208198.60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2013299</w:t>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其他组织事务支出</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1963719.04</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11407.40</w:t>
            </w:r>
          </w:p>
        </w:tc>
        <w:tc>
          <w:tcPr>
            <w:tcW w:w="1896" w:type="dxa"/>
            <w:tcBorders>
              <w:top w:val="nil"/>
              <w:left w:val="nil"/>
              <w:bottom w:val="single" w:color="000000" w:sz="4" w:space="0"/>
              <w:right w:val="single" w:color="000000" w:sz="4" w:space="0"/>
            </w:tcBorders>
            <w:vAlign w:val="center"/>
          </w:tcPr>
          <w:p>
            <w:pPr>
              <w:widowControl/>
              <w:wordWrap w:val="0"/>
              <w:jc w:val="right"/>
              <w:rPr>
                <w:color w:val="000000"/>
                <w:kern w:val="0"/>
                <w:sz w:val="22"/>
              </w:rPr>
            </w:pPr>
            <w:r>
              <w:rPr>
                <w:rFonts w:hint="eastAsia"/>
                <w:color w:val="000000"/>
                <w:kern w:val="0"/>
                <w:sz w:val="22"/>
              </w:rPr>
              <w:t xml:space="preserve">  1952311.64</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20133</w:t>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宣传事务</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300000.00</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0.00</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300000.00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2013399</w:t>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其他宣传事务支出</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300000.00</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0.00</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300000.00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20134</w:t>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统战事务</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50000.00</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0.00</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50000.00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2013402</w:t>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一般行政管理事务</w:t>
            </w:r>
          </w:p>
        </w:tc>
        <w:tc>
          <w:tcPr>
            <w:tcW w:w="1932" w:type="dxa"/>
            <w:tcBorders>
              <w:top w:val="nil"/>
              <w:left w:val="nil"/>
              <w:bottom w:val="single" w:color="000000" w:sz="4" w:space="0"/>
              <w:right w:val="single" w:color="000000" w:sz="4" w:space="0"/>
            </w:tcBorders>
            <w:vAlign w:val="center"/>
          </w:tcPr>
          <w:p>
            <w:pPr>
              <w:widowControl/>
              <w:ind w:firstLine="880" w:firstLineChars="400"/>
              <w:rPr>
                <w:color w:val="000000"/>
                <w:kern w:val="0"/>
                <w:sz w:val="22"/>
              </w:rPr>
            </w:pPr>
            <w:r>
              <w:rPr>
                <w:rFonts w:hint="eastAsia"/>
                <w:color w:val="000000"/>
                <w:kern w:val="0"/>
                <w:sz w:val="22"/>
              </w:rPr>
              <w:t>50000.00</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0.00</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50000.00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color w:val="000000"/>
                <w:kern w:val="0"/>
                <w:sz w:val="22"/>
              </w:rPr>
              <w:t>208</w:t>
            </w:r>
            <w:r>
              <w:rPr>
                <w:color w:val="000000"/>
                <w:kern w:val="0"/>
                <w:sz w:val="22"/>
              </w:rPr>
              <w:tab/>
            </w:r>
            <w:r>
              <w:rPr>
                <w:color w:val="000000"/>
                <w:kern w:val="0"/>
                <w:sz w:val="22"/>
              </w:rPr>
              <w:tab/>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社会保障和就业支出</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2308273.35</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2294518.16</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13755.19</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color w:val="000000"/>
                <w:kern w:val="0"/>
                <w:sz w:val="22"/>
              </w:rPr>
              <w:t>20805</w:t>
            </w:r>
            <w:r>
              <w:rPr>
                <w:color w:val="000000"/>
                <w:kern w:val="0"/>
                <w:sz w:val="22"/>
              </w:rPr>
              <w:tab/>
            </w:r>
            <w:r>
              <w:rPr>
                <w:color w:val="000000"/>
                <w:kern w:val="0"/>
                <w:sz w:val="22"/>
              </w:rPr>
              <w:t>　</w:t>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行政事业单位养老支出</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2232891.35</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2219136.16</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13755.19</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color w:val="000000"/>
                <w:kern w:val="0"/>
                <w:sz w:val="22"/>
              </w:rPr>
              <w:t>2080501</w:t>
            </w:r>
            <w:r>
              <w:rPr>
                <w:color w:val="000000"/>
                <w:kern w:val="0"/>
                <w:sz w:val="22"/>
              </w:rPr>
              <w:tab/>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行政单位离退休</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254345.00</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254345.00</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color w:val="000000"/>
                <w:kern w:val="0"/>
                <w:sz w:val="22"/>
              </w:rPr>
              <w:t>2080502</w:t>
            </w:r>
            <w:r>
              <w:rPr>
                <w:color w:val="000000"/>
                <w:kern w:val="0"/>
                <w:sz w:val="22"/>
              </w:rPr>
              <w:tab/>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事业单位离退休</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13755.19</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0.00</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color w:val="000000"/>
                <w:kern w:val="0"/>
                <w:sz w:val="22"/>
              </w:rPr>
              <w:t>2080505</w:t>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机关事业单位基本养老保险缴费支出</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908169.65</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908169.65</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color w:val="000000"/>
                <w:kern w:val="0"/>
                <w:sz w:val="22"/>
              </w:rPr>
              <w:t>2080506</w:t>
            </w:r>
            <w:r>
              <w:rPr>
                <w:color w:val="000000"/>
                <w:kern w:val="0"/>
                <w:sz w:val="22"/>
              </w:rPr>
              <w:tab/>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机关事业单位职业年金缴费支出</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1056621.51</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1056621.51</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20808</w:t>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抚恤</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75382.00</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75382.00</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2080801</w:t>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死亡抚恤</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75382.00</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75382.00</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color w:val="000000"/>
                <w:kern w:val="0"/>
                <w:sz w:val="22"/>
              </w:rPr>
              <w:t>210</w:t>
            </w:r>
            <w:r>
              <w:rPr>
                <w:color w:val="000000"/>
                <w:kern w:val="0"/>
                <w:sz w:val="22"/>
              </w:rPr>
              <w:tab/>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卫生健康支出</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1608434.10</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422047.18</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1186386.62</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21003</w:t>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基层医疗卫生机构</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1048.05</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1048.05</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2100301</w:t>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城市社区卫生机构</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1048.05</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1048.05</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color w:val="000000"/>
                <w:kern w:val="0"/>
                <w:sz w:val="22"/>
              </w:rPr>
              <w:t>21004</w:t>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公共卫生</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1186386.92</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1186386.62</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color w:val="000000"/>
                <w:kern w:val="0"/>
                <w:sz w:val="22"/>
              </w:rPr>
              <w:t>2100410</w:t>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突发公共卫生事件应急处理</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1186386.92</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1186386.62</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color w:val="000000"/>
                <w:kern w:val="0"/>
                <w:sz w:val="22"/>
              </w:rPr>
              <w:t>21011</w:t>
            </w:r>
            <w:r>
              <w:rPr>
                <w:color w:val="000000"/>
                <w:kern w:val="0"/>
                <w:sz w:val="22"/>
              </w:rPr>
              <w:tab/>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行政事业单位医疗</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420999.13</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420999.13</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color w:val="000000"/>
                <w:kern w:val="0"/>
                <w:sz w:val="22"/>
              </w:rPr>
              <w:t>2101101</w:t>
            </w:r>
            <w:r>
              <w:rPr>
                <w:color w:val="000000"/>
                <w:kern w:val="0"/>
                <w:sz w:val="22"/>
              </w:rPr>
              <w:tab/>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 xml:space="preserve"> 行政单位医疗</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359867.41</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359867.41</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color w:val="000000"/>
                <w:kern w:val="0"/>
                <w:sz w:val="22"/>
              </w:rPr>
              <w:t>2101103</w:t>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公务员医疗补助</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61131.72</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62231.72</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color w:val="000000"/>
                <w:kern w:val="0"/>
                <w:sz w:val="22"/>
              </w:rPr>
              <w:t>211</w:t>
            </w:r>
            <w:r>
              <w:rPr>
                <w:color w:val="000000"/>
                <w:kern w:val="0"/>
                <w:sz w:val="22"/>
              </w:rPr>
              <w:tab/>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节能环保支出</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11363776.00</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11363776.00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color w:val="000000"/>
                <w:kern w:val="0"/>
                <w:sz w:val="22"/>
              </w:rPr>
              <w:t>21103</w:t>
            </w:r>
            <w:r>
              <w:rPr>
                <w:color w:val="000000"/>
                <w:kern w:val="0"/>
                <w:sz w:val="22"/>
              </w:rPr>
              <w:tab/>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污染防治</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5364000.00</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5364000.00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color w:val="000000"/>
                <w:kern w:val="0"/>
                <w:sz w:val="22"/>
              </w:rPr>
              <w:t>2110301</w:t>
            </w:r>
            <w:r>
              <w:rPr>
                <w:color w:val="000000"/>
                <w:kern w:val="0"/>
                <w:sz w:val="22"/>
              </w:rPr>
              <w:tab/>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大气</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4864000.00</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4864000.00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2110399</w:t>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其他污染防治支出</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500000.00</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500000.00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　</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color w:val="000000"/>
                <w:kern w:val="0"/>
                <w:sz w:val="22"/>
              </w:rPr>
              <w:t>21104</w:t>
            </w:r>
            <w:r>
              <w:rPr>
                <w:color w:val="000000"/>
                <w:kern w:val="0"/>
                <w:sz w:val="22"/>
              </w:rPr>
              <w:tab/>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自然生态保护</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5999776.00</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5999776.00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color w:val="000000"/>
                <w:kern w:val="0"/>
                <w:sz w:val="22"/>
              </w:rPr>
              <w:t>2110402</w:t>
            </w:r>
            <w:r>
              <w:rPr>
                <w:color w:val="000000"/>
                <w:kern w:val="0"/>
                <w:sz w:val="22"/>
              </w:rPr>
              <w:tab/>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农村环境保护</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5999776.00</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5999776.00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color w:val="000000"/>
                <w:kern w:val="0"/>
                <w:sz w:val="22"/>
              </w:rPr>
              <w:t>212</w:t>
            </w:r>
            <w:r>
              <w:rPr>
                <w:color w:val="000000"/>
                <w:kern w:val="0"/>
                <w:sz w:val="22"/>
              </w:rPr>
              <w:tab/>
            </w:r>
            <w:r>
              <w:rPr>
                <w:color w:val="000000"/>
                <w:kern w:val="0"/>
                <w:sz w:val="22"/>
              </w:rPr>
              <w:tab/>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城乡社区支出</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895734.00</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895734.00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color w:val="000000"/>
                <w:kern w:val="0"/>
                <w:sz w:val="22"/>
              </w:rPr>
              <w:t>21201</w:t>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城乡社区管理事务</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60000.00</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60000.00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color w:val="000000"/>
                <w:kern w:val="0"/>
                <w:sz w:val="22"/>
              </w:rPr>
              <w:t>212010</w:t>
            </w:r>
            <w:r>
              <w:rPr>
                <w:rFonts w:hint="eastAsia"/>
                <w:color w:val="000000"/>
                <w:kern w:val="0"/>
                <w:sz w:val="22"/>
              </w:rPr>
              <w:t>2</w:t>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一般行政管理事务</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60000.00</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60000.00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color w:val="000000"/>
                <w:kern w:val="0"/>
                <w:sz w:val="22"/>
              </w:rPr>
              <w:t>21203</w:t>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城乡社区公共设施</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135734.00</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135734.00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color w:val="000000"/>
                <w:kern w:val="0"/>
                <w:sz w:val="22"/>
              </w:rPr>
              <w:t>2120399</w:t>
            </w:r>
            <w:r>
              <w:rPr>
                <w:color w:val="000000"/>
                <w:kern w:val="0"/>
                <w:sz w:val="22"/>
              </w:rPr>
              <w:tab/>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其他城乡社区公共设施支出</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135734.00</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135734.00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color w:val="000000"/>
                <w:kern w:val="0"/>
                <w:sz w:val="22"/>
              </w:rPr>
              <w:t>21205</w:t>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城乡社区环境卫生</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700000.00</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700000.00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color w:val="000000"/>
                <w:kern w:val="0"/>
                <w:sz w:val="22"/>
              </w:rPr>
              <w:t>2120501</w:t>
            </w:r>
            <w:r>
              <w:rPr>
                <w:color w:val="000000"/>
                <w:kern w:val="0"/>
                <w:sz w:val="22"/>
              </w:rPr>
              <w:tab/>
            </w:r>
          </w:p>
        </w:tc>
        <w:tc>
          <w:tcPr>
            <w:tcW w:w="3908"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城乡社区环境卫生</w:t>
            </w:r>
          </w:p>
        </w:tc>
        <w:tc>
          <w:tcPr>
            <w:tcW w:w="1932"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700000.00</w:t>
            </w:r>
          </w:p>
        </w:tc>
        <w:tc>
          <w:tcPr>
            <w:tcW w:w="1822"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896"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700000.00</w:t>
            </w:r>
          </w:p>
        </w:tc>
        <w:tc>
          <w:tcPr>
            <w:tcW w:w="1149"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4"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4"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color w:val="000000"/>
                <w:kern w:val="0"/>
                <w:sz w:val="22"/>
              </w:rPr>
            </w:pPr>
            <w:r>
              <w:rPr>
                <w:color w:val="000000"/>
                <w:kern w:val="0"/>
                <w:sz w:val="22"/>
              </w:rPr>
              <w:t>213</w:t>
            </w:r>
            <w:r>
              <w:rPr>
                <w:color w:val="000000"/>
                <w:kern w:val="0"/>
                <w:sz w:val="22"/>
              </w:rPr>
              <w:tab/>
            </w:r>
          </w:p>
        </w:tc>
        <w:tc>
          <w:tcPr>
            <w:tcW w:w="3908" w:type="dxa"/>
            <w:tcBorders>
              <w:top w:val="nil"/>
              <w:left w:val="nil"/>
              <w:bottom w:val="single" w:color="000000" w:sz="8" w:space="0"/>
              <w:right w:val="single" w:color="000000" w:sz="4" w:space="0"/>
            </w:tcBorders>
            <w:vAlign w:val="center"/>
          </w:tcPr>
          <w:p>
            <w:pPr>
              <w:widowControl/>
              <w:jc w:val="left"/>
              <w:rPr>
                <w:color w:val="000000"/>
                <w:kern w:val="0"/>
                <w:sz w:val="22"/>
              </w:rPr>
            </w:pPr>
            <w:r>
              <w:rPr>
                <w:rFonts w:hint="eastAsia"/>
                <w:color w:val="000000"/>
                <w:kern w:val="0"/>
                <w:sz w:val="22"/>
              </w:rPr>
              <w:t>农林水支出</w:t>
            </w:r>
          </w:p>
        </w:tc>
        <w:tc>
          <w:tcPr>
            <w:tcW w:w="1932"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42178348.01</w:t>
            </w:r>
          </w:p>
        </w:tc>
        <w:tc>
          <w:tcPr>
            <w:tcW w:w="1822"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0.00</w:t>
            </w:r>
          </w:p>
        </w:tc>
        <w:tc>
          <w:tcPr>
            <w:tcW w:w="1896"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42178348.01</w:t>
            </w:r>
          </w:p>
        </w:tc>
        <w:tc>
          <w:tcPr>
            <w:tcW w:w="1149"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8"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color w:val="000000"/>
                <w:kern w:val="0"/>
                <w:sz w:val="22"/>
              </w:rPr>
            </w:pPr>
            <w:r>
              <w:rPr>
                <w:color w:val="000000"/>
                <w:kern w:val="0"/>
                <w:sz w:val="22"/>
              </w:rPr>
              <w:t>21301</w:t>
            </w:r>
            <w:r>
              <w:rPr>
                <w:color w:val="000000"/>
                <w:kern w:val="0"/>
                <w:sz w:val="22"/>
              </w:rPr>
              <w:tab/>
            </w:r>
          </w:p>
        </w:tc>
        <w:tc>
          <w:tcPr>
            <w:tcW w:w="3908" w:type="dxa"/>
            <w:tcBorders>
              <w:top w:val="nil"/>
              <w:left w:val="nil"/>
              <w:bottom w:val="single" w:color="000000" w:sz="8" w:space="0"/>
              <w:right w:val="single" w:color="000000" w:sz="4" w:space="0"/>
            </w:tcBorders>
            <w:vAlign w:val="center"/>
          </w:tcPr>
          <w:p>
            <w:pPr>
              <w:widowControl/>
              <w:jc w:val="left"/>
              <w:rPr>
                <w:color w:val="000000"/>
                <w:kern w:val="0"/>
                <w:sz w:val="22"/>
              </w:rPr>
            </w:pPr>
            <w:r>
              <w:rPr>
                <w:rFonts w:hint="eastAsia"/>
                <w:color w:val="000000"/>
                <w:kern w:val="0"/>
                <w:sz w:val="22"/>
              </w:rPr>
              <w:t>农业农村</w:t>
            </w:r>
          </w:p>
        </w:tc>
        <w:tc>
          <w:tcPr>
            <w:tcW w:w="1932"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2149760.00</w:t>
            </w:r>
          </w:p>
        </w:tc>
        <w:tc>
          <w:tcPr>
            <w:tcW w:w="1822"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896"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2149760.00</w:t>
            </w:r>
          </w:p>
        </w:tc>
        <w:tc>
          <w:tcPr>
            <w:tcW w:w="1149"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8"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color w:val="000000"/>
                <w:kern w:val="0"/>
                <w:sz w:val="22"/>
              </w:rPr>
            </w:pPr>
            <w:r>
              <w:rPr>
                <w:color w:val="000000"/>
                <w:kern w:val="0"/>
                <w:sz w:val="22"/>
              </w:rPr>
              <w:t>2130122</w:t>
            </w:r>
            <w:r>
              <w:rPr>
                <w:color w:val="000000"/>
                <w:kern w:val="0"/>
                <w:sz w:val="22"/>
              </w:rPr>
              <w:tab/>
            </w:r>
          </w:p>
        </w:tc>
        <w:tc>
          <w:tcPr>
            <w:tcW w:w="3908" w:type="dxa"/>
            <w:tcBorders>
              <w:top w:val="nil"/>
              <w:left w:val="nil"/>
              <w:bottom w:val="single" w:color="000000" w:sz="8" w:space="0"/>
              <w:right w:val="single" w:color="000000" w:sz="4" w:space="0"/>
            </w:tcBorders>
            <w:vAlign w:val="center"/>
          </w:tcPr>
          <w:p>
            <w:pPr>
              <w:widowControl/>
              <w:jc w:val="left"/>
              <w:rPr>
                <w:color w:val="000000"/>
                <w:kern w:val="0"/>
                <w:sz w:val="22"/>
              </w:rPr>
            </w:pPr>
            <w:r>
              <w:rPr>
                <w:rFonts w:hint="eastAsia"/>
                <w:color w:val="000000"/>
                <w:kern w:val="0"/>
                <w:sz w:val="22"/>
              </w:rPr>
              <w:t>农业生产发展</w:t>
            </w:r>
          </w:p>
        </w:tc>
        <w:tc>
          <w:tcPr>
            <w:tcW w:w="1932"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1099760.00</w:t>
            </w:r>
          </w:p>
        </w:tc>
        <w:tc>
          <w:tcPr>
            <w:tcW w:w="1822"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896"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1099760.00</w:t>
            </w:r>
          </w:p>
        </w:tc>
        <w:tc>
          <w:tcPr>
            <w:tcW w:w="1149"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8"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color w:val="000000"/>
                <w:kern w:val="0"/>
                <w:sz w:val="22"/>
              </w:rPr>
            </w:pPr>
            <w:r>
              <w:rPr>
                <w:rFonts w:hint="eastAsia"/>
                <w:color w:val="000000"/>
                <w:kern w:val="0"/>
                <w:sz w:val="22"/>
              </w:rPr>
              <w:t>2130126</w:t>
            </w:r>
          </w:p>
        </w:tc>
        <w:tc>
          <w:tcPr>
            <w:tcW w:w="3908" w:type="dxa"/>
            <w:tcBorders>
              <w:top w:val="nil"/>
              <w:left w:val="nil"/>
              <w:bottom w:val="single" w:color="000000" w:sz="8" w:space="0"/>
              <w:right w:val="single" w:color="000000" w:sz="4" w:space="0"/>
            </w:tcBorders>
            <w:vAlign w:val="center"/>
          </w:tcPr>
          <w:p>
            <w:pPr>
              <w:widowControl/>
              <w:jc w:val="left"/>
              <w:rPr>
                <w:color w:val="000000"/>
                <w:kern w:val="0"/>
                <w:sz w:val="22"/>
              </w:rPr>
            </w:pPr>
            <w:r>
              <w:rPr>
                <w:rFonts w:hint="eastAsia"/>
                <w:color w:val="000000"/>
                <w:kern w:val="0"/>
                <w:sz w:val="22"/>
              </w:rPr>
              <w:t>农村社会事务</w:t>
            </w:r>
          </w:p>
        </w:tc>
        <w:tc>
          <w:tcPr>
            <w:tcW w:w="1932"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1050000.00</w:t>
            </w:r>
          </w:p>
        </w:tc>
        <w:tc>
          <w:tcPr>
            <w:tcW w:w="1822"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896"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1050000.00</w:t>
            </w:r>
          </w:p>
        </w:tc>
        <w:tc>
          <w:tcPr>
            <w:tcW w:w="1149"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　</w:t>
            </w:r>
          </w:p>
        </w:tc>
        <w:tc>
          <w:tcPr>
            <w:tcW w:w="1111"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　</w:t>
            </w:r>
          </w:p>
        </w:tc>
        <w:tc>
          <w:tcPr>
            <w:tcW w:w="1654" w:type="dxa"/>
            <w:tcBorders>
              <w:top w:val="nil"/>
              <w:left w:val="nil"/>
              <w:bottom w:val="single" w:color="000000" w:sz="8" w:space="0"/>
              <w:right w:val="single" w:color="000000" w:sz="8" w:space="0"/>
            </w:tcBorders>
            <w:vAlign w:val="center"/>
          </w:tcPr>
          <w:p>
            <w:pPr>
              <w:widowControl/>
              <w:jc w:val="right"/>
              <w:rPr>
                <w:color w:val="000000"/>
                <w:kern w:val="0"/>
                <w:sz w:val="22"/>
              </w:rPr>
            </w:pPr>
            <w:r>
              <w:rPr>
                <w:color w:val="000000"/>
                <w:kern w:val="0"/>
                <w:sz w:val="22"/>
              </w:rPr>
              <w:t>0.00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color w:val="000000"/>
                <w:kern w:val="0"/>
                <w:sz w:val="22"/>
              </w:rPr>
            </w:pPr>
            <w:r>
              <w:rPr>
                <w:color w:val="000000"/>
                <w:kern w:val="0"/>
                <w:sz w:val="22"/>
              </w:rPr>
              <w:t>21305</w:t>
            </w:r>
          </w:p>
        </w:tc>
        <w:tc>
          <w:tcPr>
            <w:tcW w:w="3908" w:type="dxa"/>
            <w:tcBorders>
              <w:top w:val="nil"/>
              <w:left w:val="nil"/>
              <w:bottom w:val="single" w:color="000000" w:sz="8" w:space="0"/>
              <w:right w:val="single" w:color="000000" w:sz="4" w:space="0"/>
            </w:tcBorders>
            <w:vAlign w:val="center"/>
          </w:tcPr>
          <w:p>
            <w:pPr>
              <w:widowControl/>
              <w:jc w:val="left"/>
              <w:rPr>
                <w:color w:val="000000"/>
                <w:kern w:val="0"/>
                <w:sz w:val="22"/>
              </w:rPr>
            </w:pPr>
            <w:r>
              <w:rPr>
                <w:rFonts w:hint="eastAsia"/>
                <w:color w:val="000000"/>
                <w:kern w:val="0"/>
                <w:sz w:val="22"/>
              </w:rPr>
              <w:t>巩固脱贫衔接乡村振兴</w:t>
            </w:r>
          </w:p>
        </w:tc>
        <w:tc>
          <w:tcPr>
            <w:tcW w:w="1932"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29529344.28</w:t>
            </w:r>
          </w:p>
        </w:tc>
        <w:tc>
          <w:tcPr>
            <w:tcW w:w="1822"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896"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29529344.28</w:t>
            </w:r>
          </w:p>
        </w:tc>
        <w:tc>
          <w:tcPr>
            <w:tcW w:w="1149"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8"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color w:val="000000"/>
                <w:kern w:val="0"/>
                <w:sz w:val="22"/>
              </w:rPr>
            </w:pPr>
            <w:r>
              <w:rPr>
                <w:rFonts w:hint="eastAsia"/>
                <w:color w:val="000000"/>
                <w:kern w:val="0"/>
                <w:sz w:val="22"/>
              </w:rPr>
              <w:t>2130505</w:t>
            </w:r>
          </w:p>
        </w:tc>
        <w:tc>
          <w:tcPr>
            <w:tcW w:w="3908" w:type="dxa"/>
            <w:tcBorders>
              <w:top w:val="nil"/>
              <w:left w:val="nil"/>
              <w:bottom w:val="single" w:color="000000" w:sz="8" w:space="0"/>
              <w:right w:val="single" w:color="000000" w:sz="4" w:space="0"/>
            </w:tcBorders>
            <w:vAlign w:val="center"/>
          </w:tcPr>
          <w:p>
            <w:pPr>
              <w:widowControl/>
              <w:jc w:val="left"/>
              <w:rPr>
                <w:color w:val="000000"/>
                <w:kern w:val="0"/>
                <w:sz w:val="22"/>
              </w:rPr>
            </w:pPr>
            <w:r>
              <w:rPr>
                <w:rFonts w:hint="eastAsia"/>
                <w:color w:val="000000"/>
                <w:kern w:val="0"/>
                <w:sz w:val="22"/>
              </w:rPr>
              <w:t>生产发展</w:t>
            </w:r>
          </w:p>
        </w:tc>
        <w:tc>
          <w:tcPr>
            <w:tcW w:w="1932"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27915644.28</w:t>
            </w:r>
          </w:p>
        </w:tc>
        <w:tc>
          <w:tcPr>
            <w:tcW w:w="1822"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896"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27915644.28</w:t>
            </w:r>
          </w:p>
        </w:tc>
        <w:tc>
          <w:tcPr>
            <w:tcW w:w="1149"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　</w:t>
            </w:r>
          </w:p>
        </w:tc>
        <w:tc>
          <w:tcPr>
            <w:tcW w:w="1111"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　</w:t>
            </w:r>
          </w:p>
        </w:tc>
        <w:tc>
          <w:tcPr>
            <w:tcW w:w="1654" w:type="dxa"/>
            <w:tcBorders>
              <w:top w:val="nil"/>
              <w:left w:val="nil"/>
              <w:bottom w:val="single" w:color="000000" w:sz="8" w:space="0"/>
              <w:right w:val="single" w:color="000000" w:sz="8" w:space="0"/>
            </w:tcBorders>
            <w:vAlign w:val="center"/>
          </w:tcPr>
          <w:p>
            <w:pPr>
              <w:widowControl/>
              <w:jc w:val="right"/>
              <w:rPr>
                <w:color w:val="000000"/>
                <w:kern w:val="0"/>
                <w:sz w:val="22"/>
              </w:rPr>
            </w:pPr>
            <w:r>
              <w:rPr>
                <w:color w:val="000000"/>
                <w:kern w:val="0"/>
                <w:sz w:val="22"/>
              </w:rPr>
              <w:t>0.00　</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color w:val="000000"/>
                <w:kern w:val="0"/>
                <w:sz w:val="22"/>
              </w:rPr>
            </w:pPr>
            <w:r>
              <w:rPr>
                <w:color w:val="000000"/>
                <w:kern w:val="0"/>
                <w:sz w:val="22"/>
              </w:rPr>
              <w:t>2130599</w:t>
            </w:r>
          </w:p>
        </w:tc>
        <w:tc>
          <w:tcPr>
            <w:tcW w:w="3908" w:type="dxa"/>
            <w:tcBorders>
              <w:top w:val="nil"/>
              <w:left w:val="nil"/>
              <w:bottom w:val="single" w:color="000000" w:sz="8" w:space="0"/>
              <w:right w:val="single" w:color="000000" w:sz="4" w:space="0"/>
            </w:tcBorders>
            <w:vAlign w:val="center"/>
          </w:tcPr>
          <w:p>
            <w:pPr>
              <w:widowControl/>
              <w:jc w:val="left"/>
              <w:rPr>
                <w:color w:val="000000"/>
                <w:kern w:val="0"/>
                <w:sz w:val="22"/>
              </w:rPr>
            </w:pPr>
            <w:r>
              <w:rPr>
                <w:rFonts w:hint="eastAsia"/>
                <w:color w:val="000000"/>
                <w:kern w:val="0"/>
                <w:sz w:val="22"/>
              </w:rPr>
              <w:t>其他巩固脱贫衔接乡村振兴支出</w:t>
            </w:r>
          </w:p>
        </w:tc>
        <w:tc>
          <w:tcPr>
            <w:tcW w:w="1932"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1613700.00</w:t>
            </w:r>
          </w:p>
        </w:tc>
        <w:tc>
          <w:tcPr>
            <w:tcW w:w="1822"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896"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1613700.00</w:t>
            </w:r>
          </w:p>
        </w:tc>
        <w:tc>
          <w:tcPr>
            <w:tcW w:w="1149"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8"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color w:val="000000"/>
                <w:kern w:val="0"/>
                <w:sz w:val="22"/>
              </w:rPr>
            </w:pPr>
            <w:r>
              <w:rPr>
                <w:color w:val="000000"/>
                <w:kern w:val="0"/>
                <w:sz w:val="22"/>
              </w:rPr>
              <w:t>21307</w:t>
            </w:r>
            <w:r>
              <w:rPr>
                <w:color w:val="000000"/>
                <w:kern w:val="0"/>
                <w:sz w:val="22"/>
              </w:rPr>
              <w:tab/>
            </w:r>
          </w:p>
        </w:tc>
        <w:tc>
          <w:tcPr>
            <w:tcW w:w="3908" w:type="dxa"/>
            <w:tcBorders>
              <w:top w:val="nil"/>
              <w:left w:val="nil"/>
              <w:bottom w:val="single" w:color="000000" w:sz="8" w:space="0"/>
              <w:right w:val="single" w:color="000000" w:sz="4" w:space="0"/>
            </w:tcBorders>
            <w:vAlign w:val="center"/>
          </w:tcPr>
          <w:p>
            <w:pPr>
              <w:widowControl/>
              <w:jc w:val="left"/>
              <w:rPr>
                <w:color w:val="000000"/>
                <w:kern w:val="0"/>
                <w:sz w:val="22"/>
              </w:rPr>
            </w:pPr>
            <w:r>
              <w:rPr>
                <w:rFonts w:hint="eastAsia"/>
                <w:color w:val="000000"/>
                <w:kern w:val="0"/>
                <w:sz w:val="22"/>
              </w:rPr>
              <w:t>农村综合改革</w:t>
            </w:r>
          </w:p>
        </w:tc>
        <w:tc>
          <w:tcPr>
            <w:tcW w:w="1932" w:type="dxa"/>
            <w:tcBorders>
              <w:top w:val="nil"/>
              <w:left w:val="nil"/>
              <w:bottom w:val="single" w:color="000000" w:sz="8" w:space="0"/>
              <w:right w:val="single" w:color="000000" w:sz="4" w:space="0"/>
            </w:tcBorders>
            <w:vAlign w:val="center"/>
          </w:tcPr>
          <w:p>
            <w:pPr>
              <w:widowControl/>
              <w:jc w:val="center"/>
              <w:rPr>
                <w:color w:val="000000"/>
                <w:kern w:val="0"/>
                <w:sz w:val="22"/>
              </w:rPr>
            </w:pPr>
            <w:r>
              <w:rPr>
                <w:rFonts w:hint="eastAsia"/>
                <w:color w:val="000000"/>
                <w:kern w:val="0"/>
                <w:sz w:val="22"/>
              </w:rPr>
              <w:t xml:space="preserve">     10499243.73</w:t>
            </w:r>
          </w:p>
        </w:tc>
        <w:tc>
          <w:tcPr>
            <w:tcW w:w="1822"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896"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10499243.73</w:t>
            </w:r>
          </w:p>
        </w:tc>
        <w:tc>
          <w:tcPr>
            <w:tcW w:w="1149"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8"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color w:val="000000"/>
                <w:kern w:val="0"/>
                <w:sz w:val="22"/>
              </w:rPr>
            </w:pPr>
            <w:r>
              <w:rPr>
                <w:color w:val="000000"/>
                <w:kern w:val="0"/>
                <w:sz w:val="22"/>
              </w:rPr>
              <w:t>2130701</w:t>
            </w:r>
            <w:r>
              <w:rPr>
                <w:color w:val="000000"/>
                <w:kern w:val="0"/>
                <w:sz w:val="22"/>
              </w:rPr>
              <w:tab/>
            </w:r>
          </w:p>
        </w:tc>
        <w:tc>
          <w:tcPr>
            <w:tcW w:w="3908" w:type="dxa"/>
            <w:tcBorders>
              <w:top w:val="nil"/>
              <w:left w:val="nil"/>
              <w:bottom w:val="single" w:color="000000" w:sz="8" w:space="0"/>
              <w:right w:val="single" w:color="000000" w:sz="4" w:space="0"/>
            </w:tcBorders>
            <w:vAlign w:val="center"/>
          </w:tcPr>
          <w:p>
            <w:pPr>
              <w:widowControl/>
              <w:jc w:val="left"/>
              <w:rPr>
                <w:color w:val="000000"/>
                <w:kern w:val="0"/>
                <w:sz w:val="22"/>
              </w:rPr>
            </w:pPr>
            <w:r>
              <w:rPr>
                <w:rFonts w:hint="eastAsia"/>
                <w:color w:val="000000"/>
                <w:kern w:val="0"/>
                <w:sz w:val="22"/>
              </w:rPr>
              <w:t xml:space="preserve">  对村级公益事业建设的补助</w:t>
            </w:r>
          </w:p>
        </w:tc>
        <w:tc>
          <w:tcPr>
            <w:tcW w:w="1932"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6779243.73</w:t>
            </w:r>
          </w:p>
        </w:tc>
        <w:tc>
          <w:tcPr>
            <w:tcW w:w="1822"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896"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6779243.73</w:t>
            </w:r>
          </w:p>
        </w:tc>
        <w:tc>
          <w:tcPr>
            <w:tcW w:w="1149"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8"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color w:val="000000"/>
                <w:kern w:val="0"/>
                <w:sz w:val="22"/>
              </w:rPr>
            </w:pPr>
            <w:r>
              <w:rPr>
                <w:color w:val="000000"/>
                <w:kern w:val="0"/>
                <w:sz w:val="22"/>
              </w:rPr>
              <w:t>2130705</w:t>
            </w:r>
            <w:r>
              <w:rPr>
                <w:color w:val="000000"/>
                <w:kern w:val="0"/>
                <w:sz w:val="22"/>
              </w:rPr>
              <w:tab/>
            </w:r>
          </w:p>
        </w:tc>
        <w:tc>
          <w:tcPr>
            <w:tcW w:w="3908" w:type="dxa"/>
            <w:tcBorders>
              <w:top w:val="nil"/>
              <w:left w:val="nil"/>
              <w:bottom w:val="single" w:color="000000" w:sz="8" w:space="0"/>
              <w:right w:val="single" w:color="000000" w:sz="4" w:space="0"/>
            </w:tcBorders>
            <w:vAlign w:val="center"/>
          </w:tcPr>
          <w:p>
            <w:pPr>
              <w:widowControl/>
              <w:jc w:val="left"/>
              <w:rPr>
                <w:color w:val="000000"/>
                <w:kern w:val="0"/>
                <w:sz w:val="22"/>
              </w:rPr>
            </w:pPr>
            <w:r>
              <w:rPr>
                <w:rFonts w:hint="eastAsia"/>
                <w:color w:val="000000"/>
                <w:kern w:val="0"/>
                <w:sz w:val="22"/>
              </w:rPr>
              <w:t>对村民委员会和村党支部的补助</w:t>
            </w:r>
          </w:p>
        </w:tc>
        <w:tc>
          <w:tcPr>
            <w:tcW w:w="1932"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2120000.00</w:t>
            </w:r>
          </w:p>
        </w:tc>
        <w:tc>
          <w:tcPr>
            <w:tcW w:w="1822"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896"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2121000.00</w:t>
            </w:r>
          </w:p>
        </w:tc>
        <w:tc>
          <w:tcPr>
            <w:tcW w:w="1149"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8"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color w:val="000000"/>
                <w:kern w:val="0"/>
                <w:sz w:val="22"/>
              </w:rPr>
            </w:pPr>
            <w:r>
              <w:rPr>
                <w:color w:val="000000"/>
                <w:kern w:val="0"/>
                <w:sz w:val="22"/>
              </w:rPr>
              <w:t>2130706</w:t>
            </w:r>
          </w:p>
        </w:tc>
        <w:tc>
          <w:tcPr>
            <w:tcW w:w="3908" w:type="dxa"/>
            <w:tcBorders>
              <w:top w:val="nil"/>
              <w:left w:val="nil"/>
              <w:bottom w:val="single" w:color="000000" w:sz="8" w:space="0"/>
              <w:right w:val="single" w:color="000000" w:sz="4" w:space="0"/>
            </w:tcBorders>
            <w:vAlign w:val="center"/>
          </w:tcPr>
          <w:p>
            <w:pPr>
              <w:widowControl/>
              <w:jc w:val="left"/>
              <w:rPr>
                <w:color w:val="000000"/>
                <w:kern w:val="0"/>
                <w:sz w:val="22"/>
              </w:rPr>
            </w:pPr>
            <w:r>
              <w:rPr>
                <w:rFonts w:hint="eastAsia"/>
                <w:color w:val="000000"/>
                <w:kern w:val="0"/>
                <w:sz w:val="22"/>
              </w:rPr>
              <w:t>对村集体经济组织的补助</w:t>
            </w:r>
          </w:p>
        </w:tc>
        <w:tc>
          <w:tcPr>
            <w:tcW w:w="1932"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1600000.00</w:t>
            </w:r>
          </w:p>
        </w:tc>
        <w:tc>
          <w:tcPr>
            <w:tcW w:w="1822"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896"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1600000.00</w:t>
            </w:r>
          </w:p>
        </w:tc>
        <w:tc>
          <w:tcPr>
            <w:tcW w:w="1149"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8"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color w:val="000000"/>
                <w:kern w:val="0"/>
                <w:sz w:val="22"/>
              </w:rPr>
            </w:pPr>
            <w:r>
              <w:rPr>
                <w:color w:val="000000"/>
                <w:kern w:val="0"/>
                <w:sz w:val="22"/>
              </w:rPr>
              <w:t>221</w:t>
            </w:r>
            <w:r>
              <w:rPr>
                <w:color w:val="000000"/>
                <w:kern w:val="0"/>
                <w:sz w:val="22"/>
              </w:rPr>
              <w:tab/>
            </w:r>
          </w:p>
        </w:tc>
        <w:tc>
          <w:tcPr>
            <w:tcW w:w="3908" w:type="dxa"/>
            <w:tcBorders>
              <w:top w:val="nil"/>
              <w:left w:val="nil"/>
              <w:bottom w:val="single" w:color="000000" w:sz="8" w:space="0"/>
              <w:right w:val="single" w:color="000000" w:sz="4" w:space="0"/>
            </w:tcBorders>
            <w:vAlign w:val="center"/>
          </w:tcPr>
          <w:p>
            <w:pPr>
              <w:widowControl/>
              <w:jc w:val="left"/>
              <w:rPr>
                <w:color w:val="000000"/>
                <w:kern w:val="0"/>
                <w:sz w:val="22"/>
              </w:rPr>
            </w:pPr>
            <w:r>
              <w:rPr>
                <w:rFonts w:hint="eastAsia"/>
                <w:color w:val="000000"/>
                <w:kern w:val="0"/>
                <w:sz w:val="22"/>
              </w:rPr>
              <w:t>住房保障支出</w:t>
            </w:r>
          </w:p>
        </w:tc>
        <w:tc>
          <w:tcPr>
            <w:tcW w:w="1932"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881670.70</w:t>
            </w:r>
          </w:p>
        </w:tc>
        <w:tc>
          <w:tcPr>
            <w:tcW w:w="1822"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881670.70</w:t>
            </w:r>
          </w:p>
        </w:tc>
        <w:tc>
          <w:tcPr>
            <w:tcW w:w="1896"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149"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8"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color w:val="000000"/>
                <w:kern w:val="0"/>
                <w:sz w:val="22"/>
              </w:rPr>
            </w:pPr>
            <w:r>
              <w:rPr>
                <w:color w:val="000000"/>
                <w:kern w:val="0"/>
                <w:sz w:val="22"/>
              </w:rPr>
              <w:t>22102</w:t>
            </w:r>
          </w:p>
        </w:tc>
        <w:tc>
          <w:tcPr>
            <w:tcW w:w="3908" w:type="dxa"/>
            <w:tcBorders>
              <w:top w:val="nil"/>
              <w:left w:val="nil"/>
              <w:bottom w:val="single" w:color="000000" w:sz="8" w:space="0"/>
              <w:right w:val="single" w:color="000000" w:sz="4" w:space="0"/>
            </w:tcBorders>
            <w:vAlign w:val="center"/>
          </w:tcPr>
          <w:p>
            <w:pPr>
              <w:widowControl/>
              <w:jc w:val="left"/>
              <w:rPr>
                <w:color w:val="000000"/>
                <w:kern w:val="0"/>
                <w:sz w:val="22"/>
              </w:rPr>
            </w:pPr>
            <w:r>
              <w:rPr>
                <w:rFonts w:hint="eastAsia"/>
                <w:color w:val="000000"/>
                <w:kern w:val="0"/>
                <w:sz w:val="22"/>
              </w:rPr>
              <w:t>住房改革支出</w:t>
            </w:r>
          </w:p>
        </w:tc>
        <w:tc>
          <w:tcPr>
            <w:tcW w:w="1932"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881670.70</w:t>
            </w:r>
          </w:p>
        </w:tc>
        <w:tc>
          <w:tcPr>
            <w:tcW w:w="1822"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881670.70</w:t>
            </w:r>
          </w:p>
        </w:tc>
        <w:tc>
          <w:tcPr>
            <w:tcW w:w="1896"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149"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8"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color w:val="000000"/>
                <w:kern w:val="0"/>
                <w:sz w:val="22"/>
              </w:rPr>
            </w:pPr>
            <w:r>
              <w:rPr>
                <w:color w:val="000000"/>
                <w:kern w:val="0"/>
                <w:sz w:val="22"/>
              </w:rPr>
              <w:t>2210201</w:t>
            </w:r>
            <w:r>
              <w:rPr>
                <w:color w:val="000000"/>
                <w:kern w:val="0"/>
                <w:sz w:val="22"/>
              </w:rPr>
              <w:tab/>
            </w:r>
          </w:p>
        </w:tc>
        <w:tc>
          <w:tcPr>
            <w:tcW w:w="3908" w:type="dxa"/>
            <w:tcBorders>
              <w:top w:val="nil"/>
              <w:left w:val="nil"/>
              <w:bottom w:val="single" w:color="000000" w:sz="8" w:space="0"/>
              <w:right w:val="single" w:color="000000" w:sz="4" w:space="0"/>
            </w:tcBorders>
            <w:vAlign w:val="center"/>
          </w:tcPr>
          <w:p>
            <w:pPr>
              <w:widowControl/>
              <w:jc w:val="left"/>
              <w:rPr>
                <w:color w:val="000000"/>
                <w:kern w:val="0"/>
                <w:sz w:val="22"/>
              </w:rPr>
            </w:pPr>
            <w:r>
              <w:rPr>
                <w:rFonts w:hint="eastAsia"/>
                <w:color w:val="000000"/>
                <w:kern w:val="0"/>
                <w:sz w:val="22"/>
              </w:rPr>
              <w:t>住房公积金</w:t>
            </w:r>
          </w:p>
        </w:tc>
        <w:tc>
          <w:tcPr>
            <w:tcW w:w="1932"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764671.00</w:t>
            </w:r>
          </w:p>
        </w:tc>
        <w:tc>
          <w:tcPr>
            <w:tcW w:w="1822"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764671.00</w:t>
            </w:r>
          </w:p>
        </w:tc>
        <w:tc>
          <w:tcPr>
            <w:tcW w:w="1896"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149"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8"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168" w:hRule="atLeast"/>
        </w:trPr>
        <w:tc>
          <w:tcPr>
            <w:tcW w:w="1393"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color w:val="000000"/>
                <w:kern w:val="0"/>
                <w:sz w:val="22"/>
              </w:rPr>
            </w:pPr>
            <w:r>
              <w:rPr>
                <w:color w:val="000000"/>
                <w:kern w:val="0"/>
                <w:sz w:val="22"/>
              </w:rPr>
              <w:t>2210203</w:t>
            </w:r>
          </w:p>
        </w:tc>
        <w:tc>
          <w:tcPr>
            <w:tcW w:w="3908" w:type="dxa"/>
            <w:tcBorders>
              <w:top w:val="nil"/>
              <w:left w:val="nil"/>
              <w:bottom w:val="single" w:color="000000" w:sz="8" w:space="0"/>
              <w:right w:val="single" w:color="000000" w:sz="4" w:space="0"/>
            </w:tcBorders>
            <w:vAlign w:val="center"/>
          </w:tcPr>
          <w:p>
            <w:pPr>
              <w:widowControl/>
              <w:jc w:val="left"/>
              <w:rPr>
                <w:color w:val="000000"/>
                <w:kern w:val="0"/>
                <w:sz w:val="22"/>
              </w:rPr>
            </w:pPr>
            <w:r>
              <w:rPr>
                <w:rFonts w:hint="eastAsia"/>
                <w:color w:val="000000"/>
                <w:kern w:val="0"/>
                <w:sz w:val="22"/>
              </w:rPr>
              <w:t>购房补贴</w:t>
            </w:r>
          </w:p>
        </w:tc>
        <w:tc>
          <w:tcPr>
            <w:tcW w:w="1932"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116999.70</w:t>
            </w:r>
          </w:p>
        </w:tc>
        <w:tc>
          <w:tcPr>
            <w:tcW w:w="1822"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116999.70</w:t>
            </w:r>
          </w:p>
        </w:tc>
        <w:tc>
          <w:tcPr>
            <w:tcW w:w="1896"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149"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111" w:type="dxa"/>
            <w:tcBorders>
              <w:top w:val="nil"/>
              <w:left w:val="nil"/>
              <w:bottom w:val="single" w:color="000000" w:sz="8" w:space="0"/>
              <w:right w:val="single" w:color="000000" w:sz="4" w:space="0"/>
            </w:tcBorders>
            <w:vAlign w:val="center"/>
          </w:tcPr>
          <w:p>
            <w:pPr>
              <w:widowControl/>
              <w:jc w:val="right"/>
              <w:rPr>
                <w:color w:val="000000"/>
                <w:kern w:val="0"/>
                <w:sz w:val="22"/>
              </w:rPr>
            </w:pPr>
            <w:r>
              <w:rPr>
                <w:color w:val="000000"/>
                <w:kern w:val="0"/>
                <w:sz w:val="22"/>
              </w:rPr>
              <w:t>0.00</w:t>
            </w:r>
          </w:p>
        </w:tc>
        <w:tc>
          <w:tcPr>
            <w:tcW w:w="1654" w:type="dxa"/>
            <w:tcBorders>
              <w:top w:val="nil"/>
              <w:left w:val="nil"/>
              <w:bottom w:val="single" w:color="000000" w:sz="8" w:space="0"/>
              <w:right w:val="single" w:color="000000" w:sz="8" w:space="0"/>
            </w:tcBorders>
            <w:vAlign w:val="center"/>
          </w:tcPr>
          <w:p>
            <w:pPr>
              <w:widowControl/>
              <w:jc w:val="right"/>
              <w:rPr>
                <w:color w:val="000000"/>
                <w:kern w:val="0"/>
                <w:sz w:val="22"/>
              </w:rPr>
            </w:pPr>
            <w:r>
              <w:rPr>
                <w:color w:val="000000"/>
                <w:kern w:val="0"/>
                <w:sz w:val="22"/>
              </w:rPr>
              <w:t>0.00</w:t>
            </w:r>
          </w:p>
        </w:tc>
      </w:tr>
      <w:tr>
        <w:tblPrEx>
          <w:tblCellMar>
            <w:top w:w="0" w:type="dxa"/>
            <w:left w:w="108" w:type="dxa"/>
            <w:bottom w:w="0" w:type="dxa"/>
            <w:right w:w="108" w:type="dxa"/>
          </w:tblCellMar>
        </w:tblPrEx>
        <w:trPr>
          <w:trHeight w:val="280" w:hRule="atLeast"/>
        </w:trPr>
        <w:tc>
          <w:tcPr>
            <w:tcW w:w="14865" w:type="dxa"/>
            <w:gridSpan w:val="10"/>
            <w:tcBorders>
              <w:top w:val="single" w:color="000000" w:sz="8" w:space="0"/>
              <w:left w:val="nil"/>
              <w:bottom w:val="nil"/>
              <w:right w:val="nil"/>
            </w:tcBorders>
            <w:vAlign w:val="bottom"/>
          </w:tcPr>
          <w:p>
            <w:pPr>
              <w:widowControl/>
              <w:jc w:val="left"/>
              <w:rPr>
                <w:sz w:val="22"/>
              </w:rPr>
            </w:pPr>
            <w:r>
              <w:rPr>
                <w:rFonts w:hint="eastAsia"/>
                <w:color w:val="000000"/>
                <w:kern w:val="0"/>
                <w:sz w:val="22"/>
              </w:rPr>
              <w:t>注：本表反映部门本年度各项支出情况，数据取自财决04表</w:t>
            </w:r>
          </w:p>
        </w:tc>
      </w:tr>
    </w:tbl>
    <w:p>
      <w:pPr>
        <w:widowControl/>
        <w:jc w:val="left"/>
        <w:rPr>
          <w:rFonts w:eastAsia="黑体"/>
          <w:b/>
          <w:bCs/>
          <w:color w:val="000000"/>
          <w:kern w:val="0"/>
          <w:sz w:val="40"/>
          <w:szCs w:val="40"/>
        </w:rPr>
      </w:pPr>
      <w:r>
        <w:rPr>
          <w:rFonts w:eastAsia="黑体"/>
          <w:b/>
          <w:bCs/>
          <w:color w:val="000000"/>
          <w:kern w:val="0"/>
          <w:sz w:val="40"/>
          <w:szCs w:val="40"/>
        </w:rPr>
        <w:br w:type="page"/>
      </w:r>
    </w:p>
    <w:tbl>
      <w:tblPr>
        <w:tblStyle w:val="9"/>
        <w:tblpPr w:leftFromText="180" w:rightFromText="180" w:vertAnchor="text" w:horzAnchor="page" w:tblpX="962" w:tblpY="352"/>
        <w:tblOverlap w:val="never"/>
        <w:tblW w:w="14820" w:type="dxa"/>
        <w:tblInd w:w="0" w:type="dxa"/>
        <w:tblLayout w:type="fixed"/>
        <w:tblCellMar>
          <w:top w:w="0" w:type="dxa"/>
          <w:left w:w="108" w:type="dxa"/>
          <w:bottom w:w="0" w:type="dxa"/>
          <w:right w:w="108" w:type="dxa"/>
        </w:tblCellMar>
      </w:tblPr>
      <w:tblGrid>
        <w:gridCol w:w="3026"/>
        <w:gridCol w:w="503"/>
        <w:gridCol w:w="1433"/>
        <w:gridCol w:w="3396"/>
        <w:gridCol w:w="518"/>
        <w:gridCol w:w="1473"/>
        <w:gridCol w:w="1336"/>
        <w:gridCol w:w="1415"/>
        <w:gridCol w:w="153"/>
        <w:gridCol w:w="1567"/>
      </w:tblGrid>
      <w:tr>
        <w:tblPrEx>
          <w:tblCellMar>
            <w:top w:w="0" w:type="dxa"/>
            <w:left w:w="108" w:type="dxa"/>
            <w:bottom w:w="0" w:type="dxa"/>
            <w:right w:w="108" w:type="dxa"/>
          </w:tblCellMar>
        </w:tblPrEx>
        <w:trPr>
          <w:trHeight w:val="267" w:hRule="atLeast"/>
        </w:trPr>
        <w:tc>
          <w:tcPr>
            <w:tcW w:w="14820" w:type="dxa"/>
            <w:gridSpan w:val="10"/>
            <w:tcBorders>
              <w:top w:val="nil"/>
              <w:left w:val="nil"/>
              <w:bottom w:val="nil"/>
              <w:right w:val="nil"/>
            </w:tcBorders>
            <w:vAlign w:val="bottom"/>
          </w:tcPr>
          <w:p>
            <w:pPr>
              <w:widowControl/>
              <w:jc w:val="center"/>
              <w:textAlignment w:val="bottom"/>
              <w:rPr>
                <w:b/>
                <w:color w:val="000000"/>
                <w:kern w:val="0"/>
                <w:sz w:val="40"/>
                <w:szCs w:val="40"/>
              </w:rPr>
            </w:pPr>
            <w:r>
              <w:rPr>
                <w:rFonts w:hint="eastAsia" w:ascii="宋体" w:hAnsi="宋体" w:cs="宋体"/>
                <w:b/>
                <w:color w:val="000000"/>
                <w:kern w:val="0"/>
                <w:sz w:val="44"/>
                <w:szCs w:val="44"/>
              </w:rPr>
              <w:t>财政拨款收入支出决算总表</w:t>
            </w:r>
          </w:p>
        </w:tc>
      </w:tr>
      <w:tr>
        <w:tblPrEx>
          <w:tblCellMar>
            <w:top w:w="0" w:type="dxa"/>
            <w:left w:w="108" w:type="dxa"/>
            <w:bottom w:w="0" w:type="dxa"/>
            <w:right w:w="108" w:type="dxa"/>
          </w:tblCellMar>
        </w:tblPrEx>
        <w:trPr>
          <w:trHeight w:val="319" w:hRule="exact"/>
        </w:trPr>
        <w:tc>
          <w:tcPr>
            <w:tcW w:w="8358" w:type="dxa"/>
            <w:gridSpan w:val="4"/>
            <w:tcBorders>
              <w:top w:val="nil"/>
              <w:left w:val="nil"/>
              <w:bottom w:val="nil"/>
              <w:right w:val="nil"/>
            </w:tcBorders>
            <w:vAlign w:val="bottom"/>
          </w:tcPr>
          <w:p>
            <w:pPr>
              <w:jc w:val="left"/>
              <w:rPr>
                <w:color w:val="000000"/>
                <w:kern w:val="0"/>
                <w:sz w:val="18"/>
                <w:szCs w:val="18"/>
              </w:rPr>
            </w:pPr>
            <w:r>
              <w:rPr>
                <w:rFonts w:hint="eastAsia" w:ascii="宋体" w:hAnsi="宋体" w:cs="宋体"/>
                <w:color w:val="000000"/>
                <w:kern w:val="0"/>
                <w:sz w:val="24"/>
              </w:rPr>
              <w:t>公开部门：</w:t>
            </w:r>
          </w:p>
        </w:tc>
        <w:tc>
          <w:tcPr>
            <w:tcW w:w="518" w:type="dxa"/>
            <w:tcBorders>
              <w:top w:val="nil"/>
              <w:left w:val="nil"/>
              <w:bottom w:val="nil"/>
              <w:right w:val="nil"/>
            </w:tcBorders>
            <w:vAlign w:val="bottom"/>
          </w:tcPr>
          <w:p>
            <w:pPr>
              <w:rPr>
                <w:color w:val="000000"/>
                <w:kern w:val="0"/>
                <w:sz w:val="18"/>
                <w:szCs w:val="18"/>
              </w:rPr>
            </w:pPr>
          </w:p>
        </w:tc>
        <w:tc>
          <w:tcPr>
            <w:tcW w:w="1473" w:type="dxa"/>
            <w:tcBorders>
              <w:top w:val="nil"/>
              <w:left w:val="nil"/>
              <w:bottom w:val="nil"/>
              <w:right w:val="nil"/>
            </w:tcBorders>
            <w:vAlign w:val="bottom"/>
          </w:tcPr>
          <w:p/>
        </w:tc>
        <w:tc>
          <w:tcPr>
            <w:tcW w:w="1336" w:type="dxa"/>
            <w:tcBorders>
              <w:top w:val="nil"/>
              <w:left w:val="nil"/>
              <w:bottom w:val="nil"/>
              <w:right w:val="nil"/>
            </w:tcBorders>
            <w:vAlign w:val="bottom"/>
          </w:tcPr>
          <w:p>
            <w:pPr>
              <w:jc w:val="center"/>
              <w:rPr>
                <w:color w:val="000000"/>
                <w:kern w:val="0"/>
                <w:sz w:val="18"/>
                <w:szCs w:val="18"/>
              </w:rPr>
            </w:pPr>
          </w:p>
        </w:tc>
        <w:tc>
          <w:tcPr>
            <w:tcW w:w="1415" w:type="dxa"/>
            <w:tcBorders>
              <w:top w:val="nil"/>
              <w:left w:val="nil"/>
              <w:bottom w:val="nil"/>
              <w:right w:val="nil"/>
            </w:tcBorders>
            <w:vAlign w:val="bottom"/>
          </w:tcPr>
          <w:p>
            <w:r>
              <w:rPr>
                <w:rFonts w:hint="eastAsia" w:ascii="宋体" w:hAnsi="宋体" w:cs="宋体"/>
                <w:color w:val="000000"/>
                <w:kern w:val="0"/>
                <w:sz w:val="24"/>
              </w:rPr>
              <w:t>公开04表</w:t>
            </w:r>
          </w:p>
        </w:tc>
        <w:tc>
          <w:tcPr>
            <w:tcW w:w="1720" w:type="dxa"/>
            <w:gridSpan w:val="2"/>
            <w:tcBorders>
              <w:top w:val="nil"/>
              <w:left w:val="nil"/>
              <w:bottom w:val="nil"/>
              <w:right w:val="nil"/>
            </w:tcBorders>
            <w:vAlign w:val="bottom"/>
          </w:tcPr>
          <w:p>
            <w:pPr>
              <w:widowControl/>
              <w:jc w:val="right"/>
              <w:textAlignment w:val="bottom"/>
              <w:rPr>
                <w:color w:val="000000"/>
                <w:kern w:val="0"/>
                <w:sz w:val="18"/>
                <w:szCs w:val="18"/>
              </w:rPr>
            </w:pPr>
            <w:r>
              <w:rPr>
                <w:rFonts w:hint="eastAsia" w:ascii="宋体" w:hAnsi="宋体" w:cs="宋体"/>
                <w:color w:val="000000"/>
                <w:kern w:val="0"/>
                <w:sz w:val="24"/>
              </w:rPr>
              <w:t>金额单位：元</w:t>
            </w:r>
          </w:p>
        </w:tc>
      </w:tr>
      <w:tr>
        <w:tblPrEx>
          <w:tblCellMar>
            <w:top w:w="0" w:type="dxa"/>
            <w:left w:w="108" w:type="dxa"/>
            <w:bottom w:w="0" w:type="dxa"/>
            <w:right w:w="108" w:type="dxa"/>
          </w:tblCellMar>
        </w:tblPrEx>
        <w:trPr>
          <w:trHeight w:val="256" w:hRule="exact"/>
        </w:trPr>
        <w:tc>
          <w:tcPr>
            <w:tcW w:w="4962" w:type="dxa"/>
            <w:gridSpan w:val="3"/>
            <w:tcBorders>
              <w:top w:val="single" w:color="000000" w:sz="8" w:space="0"/>
              <w:left w:val="single" w:color="000000" w:sz="8" w:space="0"/>
              <w:bottom w:val="single" w:color="000000" w:sz="4" w:space="0"/>
              <w:right w:val="single" w:color="000000" w:sz="4" w:space="0"/>
            </w:tcBorders>
            <w:shd w:val="clear" w:color="auto" w:fill="C0C0C0"/>
            <w:vAlign w:val="center"/>
          </w:tcPr>
          <w:p>
            <w:pPr>
              <w:widowControl/>
              <w:jc w:val="center"/>
              <w:textAlignment w:val="center"/>
              <w:rPr>
                <w:color w:val="000000"/>
                <w:kern w:val="0"/>
                <w:sz w:val="15"/>
                <w:szCs w:val="15"/>
              </w:rPr>
            </w:pPr>
            <w:r>
              <w:rPr>
                <w:rFonts w:hint="eastAsia" w:ascii="宋体" w:hAnsi="宋体" w:cs="宋体"/>
                <w:color w:val="000000"/>
                <w:kern w:val="0"/>
                <w:sz w:val="20"/>
                <w:szCs w:val="20"/>
              </w:rPr>
              <w:t>收     入</w:t>
            </w:r>
          </w:p>
        </w:tc>
        <w:tc>
          <w:tcPr>
            <w:tcW w:w="9858" w:type="dxa"/>
            <w:gridSpan w:val="7"/>
            <w:tcBorders>
              <w:top w:val="single" w:color="000000" w:sz="8" w:space="0"/>
              <w:left w:val="single" w:color="000000" w:sz="8" w:space="0"/>
              <w:bottom w:val="single" w:color="000000" w:sz="4" w:space="0"/>
              <w:right w:val="single" w:color="000000" w:sz="4" w:space="0"/>
            </w:tcBorders>
            <w:shd w:val="clear" w:color="auto" w:fill="C0C0C0"/>
            <w:vAlign w:val="center"/>
          </w:tcPr>
          <w:p>
            <w:pPr>
              <w:widowControl/>
              <w:jc w:val="center"/>
              <w:textAlignment w:val="center"/>
              <w:rPr>
                <w:color w:val="000000"/>
                <w:kern w:val="0"/>
                <w:sz w:val="15"/>
                <w:szCs w:val="15"/>
              </w:rPr>
            </w:pPr>
            <w:r>
              <w:rPr>
                <w:rFonts w:hint="eastAsia" w:ascii="宋体" w:hAnsi="宋体" w:cs="宋体"/>
                <w:color w:val="000000"/>
                <w:kern w:val="0"/>
                <w:sz w:val="20"/>
                <w:szCs w:val="20"/>
              </w:rPr>
              <w:t>支     出</w:t>
            </w:r>
          </w:p>
        </w:tc>
      </w:tr>
      <w:tr>
        <w:tblPrEx>
          <w:tblCellMar>
            <w:top w:w="0" w:type="dxa"/>
            <w:left w:w="108" w:type="dxa"/>
            <w:bottom w:w="0" w:type="dxa"/>
            <w:right w:w="108" w:type="dxa"/>
          </w:tblCellMar>
        </w:tblPrEx>
        <w:trPr>
          <w:trHeight w:val="236" w:hRule="exact"/>
        </w:trPr>
        <w:tc>
          <w:tcPr>
            <w:tcW w:w="3026" w:type="dxa"/>
            <w:vMerge w:val="restart"/>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color w:val="000000"/>
                <w:kern w:val="0"/>
                <w:sz w:val="15"/>
                <w:szCs w:val="15"/>
              </w:rPr>
            </w:pPr>
            <w:r>
              <w:rPr>
                <w:rFonts w:hint="eastAsia" w:ascii="宋体" w:hAnsi="宋体" w:cs="宋体"/>
                <w:color w:val="000000"/>
                <w:kern w:val="0"/>
                <w:sz w:val="20"/>
                <w:szCs w:val="20"/>
              </w:rPr>
              <w:t>项    目</w:t>
            </w:r>
          </w:p>
        </w:tc>
        <w:tc>
          <w:tcPr>
            <w:tcW w:w="503" w:type="dxa"/>
            <w:vMerge w:val="restart"/>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行次</w:t>
            </w:r>
          </w:p>
        </w:tc>
        <w:tc>
          <w:tcPr>
            <w:tcW w:w="1433" w:type="dxa"/>
            <w:vMerge w:val="restart"/>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决算数</w:t>
            </w:r>
          </w:p>
        </w:tc>
        <w:tc>
          <w:tcPr>
            <w:tcW w:w="3396"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color w:val="000000"/>
                <w:kern w:val="0"/>
                <w:sz w:val="15"/>
                <w:szCs w:val="15"/>
              </w:rPr>
            </w:pPr>
            <w:r>
              <w:rPr>
                <w:rFonts w:hint="eastAsia" w:ascii="宋体" w:hAnsi="宋体" w:cs="宋体"/>
                <w:color w:val="000000"/>
                <w:kern w:val="0"/>
                <w:sz w:val="20"/>
                <w:szCs w:val="20"/>
              </w:rPr>
              <w:t>项目（按功能分类）</w:t>
            </w:r>
          </w:p>
        </w:tc>
        <w:tc>
          <w:tcPr>
            <w:tcW w:w="518"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行次</w:t>
            </w:r>
          </w:p>
        </w:tc>
        <w:tc>
          <w:tcPr>
            <w:tcW w:w="5944" w:type="dxa"/>
            <w:gridSpan w:val="5"/>
            <w:tcBorders>
              <w:top w:val="nil"/>
              <w:left w:val="nil"/>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决算数</w:t>
            </w:r>
          </w:p>
        </w:tc>
      </w:tr>
      <w:tr>
        <w:tblPrEx>
          <w:tblCellMar>
            <w:top w:w="0" w:type="dxa"/>
            <w:left w:w="108" w:type="dxa"/>
            <w:bottom w:w="0" w:type="dxa"/>
            <w:right w:w="108" w:type="dxa"/>
          </w:tblCellMar>
        </w:tblPrEx>
        <w:trPr>
          <w:trHeight w:val="678" w:hRule="exact"/>
        </w:trPr>
        <w:tc>
          <w:tcPr>
            <w:tcW w:w="3026" w:type="dxa"/>
            <w:vMerge w:val="continue"/>
            <w:tcBorders>
              <w:top w:val="nil"/>
              <w:left w:val="single" w:color="000000" w:sz="8" w:space="0"/>
              <w:bottom w:val="single" w:color="000000" w:sz="4" w:space="0"/>
              <w:right w:val="single" w:color="000000" w:sz="4" w:space="0"/>
            </w:tcBorders>
            <w:shd w:val="clear" w:color="auto" w:fill="C0C0C0"/>
            <w:vAlign w:val="center"/>
          </w:tcPr>
          <w:p>
            <w:pPr>
              <w:jc w:val="center"/>
              <w:rPr>
                <w:color w:val="000000"/>
                <w:kern w:val="0"/>
                <w:sz w:val="15"/>
                <w:szCs w:val="15"/>
              </w:rPr>
            </w:pPr>
          </w:p>
        </w:tc>
        <w:tc>
          <w:tcPr>
            <w:tcW w:w="503" w:type="dxa"/>
            <w:vMerge w:val="continue"/>
            <w:tcBorders>
              <w:top w:val="nil"/>
              <w:left w:val="single" w:color="000000" w:sz="8" w:space="0"/>
              <w:bottom w:val="single" w:color="000000" w:sz="4" w:space="0"/>
              <w:right w:val="single" w:color="000000" w:sz="4" w:space="0"/>
            </w:tcBorders>
            <w:shd w:val="clear" w:color="auto" w:fill="C0C0C0"/>
            <w:vAlign w:val="center"/>
          </w:tcPr>
          <w:p>
            <w:pPr>
              <w:jc w:val="center"/>
              <w:rPr>
                <w:sz w:val="16"/>
                <w:szCs w:val="16"/>
              </w:rPr>
            </w:pPr>
          </w:p>
        </w:tc>
        <w:tc>
          <w:tcPr>
            <w:tcW w:w="1433" w:type="dxa"/>
            <w:vMerge w:val="continue"/>
            <w:tcBorders>
              <w:top w:val="nil"/>
              <w:left w:val="single" w:color="000000" w:sz="8" w:space="0"/>
              <w:bottom w:val="single" w:color="000000" w:sz="4" w:space="0"/>
              <w:right w:val="single" w:color="000000" w:sz="4" w:space="0"/>
            </w:tcBorders>
            <w:shd w:val="clear" w:color="auto" w:fill="C0C0C0"/>
            <w:vAlign w:val="center"/>
          </w:tcPr>
          <w:p>
            <w:pPr>
              <w:jc w:val="center"/>
              <w:rPr>
                <w:sz w:val="16"/>
                <w:szCs w:val="16"/>
              </w:rPr>
            </w:pPr>
          </w:p>
        </w:tc>
        <w:tc>
          <w:tcPr>
            <w:tcW w:w="3396" w:type="dxa"/>
            <w:vMerge w:val="continue"/>
            <w:tcBorders>
              <w:top w:val="nil"/>
              <w:left w:val="nil"/>
              <w:bottom w:val="single" w:color="000000" w:sz="4" w:space="0"/>
              <w:right w:val="single" w:color="000000" w:sz="4" w:space="0"/>
            </w:tcBorders>
            <w:shd w:val="clear" w:color="auto" w:fill="C0C0C0"/>
            <w:vAlign w:val="center"/>
          </w:tcPr>
          <w:p>
            <w:pPr>
              <w:jc w:val="center"/>
              <w:rPr>
                <w:color w:val="000000"/>
                <w:kern w:val="0"/>
                <w:sz w:val="15"/>
                <w:szCs w:val="15"/>
              </w:rPr>
            </w:pPr>
          </w:p>
        </w:tc>
        <w:tc>
          <w:tcPr>
            <w:tcW w:w="518" w:type="dxa"/>
            <w:vMerge w:val="continue"/>
            <w:tcBorders>
              <w:top w:val="nil"/>
              <w:left w:val="nil"/>
              <w:bottom w:val="single" w:color="000000" w:sz="4" w:space="0"/>
              <w:right w:val="single" w:color="000000" w:sz="4" w:space="0"/>
            </w:tcBorders>
            <w:shd w:val="clear" w:color="auto" w:fill="C0C0C0"/>
            <w:vAlign w:val="center"/>
          </w:tcPr>
          <w:p>
            <w:pPr>
              <w:jc w:val="center"/>
              <w:rPr>
                <w:sz w:val="16"/>
                <w:szCs w:val="16"/>
              </w:rPr>
            </w:pPr>
          </w:p>
        </w:tc>
        <w:tc>
          <w:tcPr>
            <w:tcW w:w="147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合计</w:t>
            </w:r>
          </w:p>
        </w:tc>
        <w:tc>
          <w:tcPr>
            <w:tcW w:w="133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color w:val="000000"/>
                <w:kern w:val="0"/>
                <w:sz w:val="15"/>
                <w:szCs w:val="15"/>
              </w:rPr>
            </w:pPr>
            <w:r>
              <w:rPr>
                <w:rFonts w:hint="eastAsia" w:ascii="宋体" w:hAnsi="宋体" w:cs="宋体"/>
                <w:color w:val="000000"/>
                <w:kern w:val="0"/>
                <w:sz w:val="20"/>
                <w:szCs w:val="20"/>
              </w:rPr>
              <w:t>一般公共预算财政拨款</w:t>
            </w:r>
          </w:p>
        </w:tc>
        <w:tc>
          <w:tcPr>
            <w:tcW w:w="1568"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政府性基金预算财政拨款</w:t>
            </w:r>
          </w:p>
        </w:tc>
        <w:tc>
          <w:tcPr>
            <w:tcW w:w="1567"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color w:val="000000"/>
                <w:kern w:val="0"/>
                <w:sz w:val="15"/>
                <w:szCs w:val="15"/>
              </w:rPr>
            </w:pPr>
            <w:r>
              <w:rPr>
                <w:rFonts w:hint="eastAsia" w:ascii="宋体" w:hAnsi="宋体" w:cs="宋体"/>
                <w:color w:val="000000"/>
                <w:kern w:val="0"/>
                <w:sz w:val="20"/>
                <w:szCs w:val="20"/>
              </w:rPr>
              <w:t>国有资本经营预算财政拨款</w:t>
            </w: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color w:val="000000"/>
                <w:kern w:val="0"/>
                <w:sz w:val="15"/>
                <w:szCs w:val="15"/>
              </w:rPr>
            </w:pPr>
            <w:r>
              <w:rPr>
                <w:rFonts w:hint="eastAsia" w:ascii="宋体" w:hAnsi="宋体" w:cs="宋体"/>
                <w:color w:val="000000"/>
                <w:kern w:val="0"/>
                <w:sz w:val="20"/>
                <w:szCs w:val="20"/>
              </w:rPr>
              <w:t>栏    次</w:t>
            </w:r>
          </w:p>
        </w:tc>
        <w:tc>
          <w:tcPr>
            <w:tcW w:w="503" w:type="dxa"/>
            <w:tcBorders>
              <w:top w:val="nil"/>
              <w:left w:val="single" w:color="000000" w:sz="8" w:space="0"/>
              <w:bottom w:val="single" w:color="000000" w:sz="4" w:space="0"/>
              <w:right w:val="single" w:color="000000" w:sz="4" w:space="0"/>
            </w:tcBorders>
            <w:shd w:val="clear" w:color="auto" w:fill="C0C0C0"/>
            <w:vAlign w:val="center"/>
          </w:tcPr>
          <w:p>
            <w:pPr>
              <w:jc w:val="center"/>
              <w:rPr>
                <w:sz w:val="16"/>
                <w:szCs w:val="16"/>
              </w:rPr>
            </w:pPr>
          </w:p>
        </w:tc>
        <w:tc>
          <w:tcPr>
            <w:tcW w:w="143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3</w:t>
            </w:r>
          </w:p>
        </w:tc>
        <w:tc>
          <w:tcPr>
            <w:tcW w:w="3396"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center"/>
              <w:textAlignment w:val="center"/>
              <w:rPr>
                <w:color w:val="000000"/>
                <w:kern w:val="0"/>
                <w:sz w:val="15"/>
                <w:szCs w:val="15"/>
              </w:rPr>
            </w:pPr>
            <w:r>
              <w:rPr>
                <w:rFonts w:hint="eastAsia" w:ascii="宋体" w:hAnsi="宋体" w:cs="宋体"/>
                <w:color w:val="000000"/>
                <w:kern w:val="0"/>
                <w:sz w:val="20"/>
                <w:szCs w:val="20"/>
              </w:rPr>
              <w:t>栏    次</w:t>
            </w:r>
          </w:p>
        </w:tc>
        <w:tc>
          <w:tcPr>
            <w:tcW w:w="518" w:type="dxa"/>
            <w:tcBorders>
              <w:top w:val="nil"/>
              <w:left w:val="nil"/>
              <w:bottom w:val="single" w:color="000000" w:sz="4" w:space="0"/>
              <w:right w:val="single" w:color="000000" w:sz="4" w:space="0"/>
            </w:tcBorders>
            <w:shd w:val="clear" w:color="auto" w:fill="auto"/>
            <w:vAlign w:val="center"/>
          </w:tcPr>
          <w:p>
            <w:pPr>
              <w:jc w:val="center"/>
              <w:rPr>
                <w:sz w:val="16"/>
                <w:szCs w:val="16"/>
              </w:rPr>
            </w:pPr>
          </w:p>
        </w:tc>
        <w:tc>
          <w:tcPr>
            <w:tcW w:w="1473"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12</w:t>
            </w:r>
          </w:p>
        </w:tc>
        <w:tc>
          <w:tcPr>
            <w:tcW w:w="1336"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kern w:val="0"/>
                <w:sz w:val="15"/>
                <w:szCs w:val="15"/>
              </w:rPr>
            </w:pPr>
            <w:r>
              <w:rPr>
                <w:rFonts w:hint="eastAsia" w:ascii="宋体" w:hAnsi="宋体" w:cs="宋体"/>
                <w:color w:val="000000"/>
                <w:kern w:val="0"/>
                <w:sz w:val="20"/>
                <w:szCs w:val="20"/>
              </w:rPr>
              <w:t>13</w:t>
            </w:r>
          </w:p>
        </w:tc>
        <w:tc>
          <w:tcPr>
            <w:tcW w:w="1568" w:type="dxa"/>
            <w:gridSpan w:val="2"/>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14</w:t>
            </w:r>
          </w:p>
        </w:tc>
        <w:tc>
          <w:tcPr>
            <w:tcW w:w="1567" w:type="dxa"/>
            <w:tcBorders>
              <w:top w:val="nil"/>
              <w:left w:val="nil"/>
              <w:bottom w:val="single" w:color="000000" w:sz="4" w:space="0"/>
              <w:right w:val="single" w:color="000000" w:sz="4" w:space="0"/>
            </w:tcBorders>
            <w:shd w:val="clear" w:color="auto" w:fill="auto"/>
            <w:vAlign w:val="center"/>
          </w:tcPr>
          <w:p>
            <w:pPr>
              <w:widowControl/>
              <w:jc w:val="center"/>
              <w:textAlignment w:val="center"/>
              <w:rPr>
                <w:color w:val="000000"/>
                <w:kern w:val="0"/>
                <w:sz w:val="15"/>
                <w:szCs w:val="15"/>
              </w:rPr>
            </w:pPr>
            <w:r>
              <w:rPr>
                <w:rFonts w:hint="eastAsia" w:ascii="宋体" w:hAnsi="宋体" w:cs="宋体"/>
                <w:color w:val="000000"/>
                <w:kern w:val="0"/>
                <w:sz w:val="20"/>
                <w:szCs w:val="20"/>
              </w:rPr>
              <w:t>15</w:t>
            </w: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一、一般公共预算财政拨款</w:t>
            </w: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1</w:t>
            </w:r>
          </w:p>
        </w:tc>
        <w:tc>
          <w:tcPr>
            <w:tcW w:w="1433" w:type="dxa"/>
            <w:tcBorders>
              <w:top w:val="nil"/>
              <w:left w:val="single" w:color="000000" w:sz="8" w:space="0"/>
              <w:bottom w:val="single" w:color="000000" w:sz="4" w:space="0"/>
              <w:right w:val="single" w:color="000000" w:sz="4" w:space="0"/>
            </w:tcBorders>
            <w:shd w:val="clear" w:color="auto" w:fill="auto"/>
            <w:vAlign w:val="center"/>
          </w:tcPr>
          <w:p>
            <w:pPr>
              <w:widowControl/>
              <w:jc w:val="right"/>
              <w:textAlignment w:val="center"/>
              <w:rPr>
                <w:sz w:val="18"/>
                <w:szCs w:val="21"/>
              </w:rPr>
            </w:pPr>
            <w:r>
              <w:rPr>
                <w:rFonts w:hint="eastAsia"/>
                <w:sz w:val="18"/>
                <w:szCs w:val="21"/>
              </w:rPr>
              <w:t>247117861.84</w:t>
            </w:r>
          </w:p>
        </w:tc>
        <w:tc>
          <w:tcPr>
            <w:tcW w:w="3396"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一、一般公共服务支出</w:t>
            </w:r>
          </w:p>
        </w:tc>
        <w:tc>
          <w:tcPr>
            <w:tcW w:w="5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30</w:t>
            </w:r>
          </w:p>
          <w:p>
            <w:pPr>
              <w:widowControl/>
              <w:jc w:val="center"/>
              <w:textAlignment w:val="center"/>
              <w:rPr>
                <w:rFonts w:ascii="宋体" w:hAnsi="宋体" w:cs="宋体"/>
                <w:color w:val="000000"/>
                <w:kern w:val="0"/>
                <w:sz w:val="20"/>
                <w:szCs w:val="20"/>
              </w:rPr>
            </w:pPr>
          </w:p>
        </w:tc>
        <w:tc>
          <w:tcPr>
            <w:tcW w:w="1473" w:type="dxa"/>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rFonts w:hint="eastAsia"/>
                <w:sz w:val="18"/>
                <w:szCs w:val="21"/>
              </w:rPr>
              <w:t>187553826.57</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rFonts w:hint="eastAsia"/>
                <w:sz w:val="18"/>
                <w:szCs w:val="21"/>
              </w:rPr>
              <w:t>187553826.57</w:t>
            </w:r>
          </w:p>
        </w:tc>
        <w:tc>
          <w:tcPr>
            <w:tcW w:w="1568"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567"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r>
      <w:tr>
        <w:tblPrEx>
          <w:tblCellMar>
            <w:top w:w="0" w:type="dxa"/>
            <w:left w:w="108" w:type="dxa"/>
            <w:bottom w:w="0" w:type="dxa"/>
            <w:right w:w="108" w:type="dxa"/>
          </w:tblCellMar>
        </w:tblPrEx>
        <w:trPr>
          <w:trHeight w:val="254"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二、政府性基金预算财政拨款</w:t>
            </w: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2</w:t>
            </w:r>
          </w:p>
        </w:tc>
        <w:tc>
          <w:tcPr>
            <w:tcW w:w="1433" w:type="dxa"/>
            <w:tcBorders>
              <w:top w:val="nil"/>
              <w:left w:val="single" w:color="000000" w:sz="8" w:space="0"/>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3396"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二、外交支出</w:t>
            </w:r>
          </w:p>
        </w:tc>
        <w:tc>
          <w:tcPr>
            <w:tcW w:w="5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31</w:t>
            </w:r>
          </w:p>
        </w:tc>
        <w:tc>
          <w:tcPr>
            <w:tcW w:w="1473" w:type="dxa"/>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c>
          <w:tcPr>
            <w:tcW w:w="1568"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567"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三、国有资本经营预算财政拨款</w:t>
            </w: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3</w:t>
            </w:r>
          </w:p>
        </w:tc>
        <w:tc>
          <w:tcPr>
            <w:tcW w:w="1433" w:type="dxa"/>
            <w:tcBorders>
              <w:top w:val="nil"/>
              <w:left w:val="single" w:color="000000" w:sz="8" w:space="0"/>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3396"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三、国防支出</w:t>
            </w:r>
          </w:p>
        </w:tc>
        <w:tc>
          <w:tcPr>
            <w:tcW w:w="5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32</w:t>
            </w:r>
          </w:p>
        </w:tc>
        <w:tc>
          <w:tcPr>
            <w:tcW w:w="1473" w:type="dxa"/>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c>
          <w:tcPr>
            <w:tcW w:w="1568"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567"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4</w:t>
            </w:r>
          </w:p>
        </w:tc>
        <w:tc>
          <w:tcPr>
            <w:tcW w:w="1433"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396"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四、公共安全支出</w:t>
            </w:r>
          </w:p>
        </w:tc>
        <w:tc>
          <w:tcPr>
            <w:tcW w:w="5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33</w:t>
            </w:r>
          </w:p>
        </w:tc>
        <w:tc>
          <w:tcPr>
            <w:tcW w:w="1473" w:type="dxa"/>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c>
          <w:tcPr>
            <w:tcW w:w="1568"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567"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5</w:t>
            </w:r>
          </w:p>
        </w:tc>
        <w:tc>
          <w:tcPr>
            <w:tcW w:w="1433"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396"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五、教育支出</w:t>
            </w:r>
          </w:p>
        </w:tc>
        <w:tc>
          <w:tcPr>
            <w:tcW w:w="5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34</w:t>
            </w:r>
          </w:p>
        </w:tc>
        <w:tc>
          <w:tcPr>
            <w:tcW w:w="1473" w:type="dxa"/>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c>
          <w:tcPr>
            <w:tcW w:w="1568"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567"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6</w:t>
            </w:r>
          </w:p>
        </w:tc>
        <w:tc>
          <w:tcPr>
            <w:tcW w:w="1433"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396"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六、科学技术支出</w:t>
            </w:r>
          </w:p>
        </w:tc>
        <w:tc>
          <w:tcPr>
            <w:tcW w:w="5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35</w:t>
            </w:r>
          </w:p>
        </w:tc>
        <w:tc>
          <w:tcPr>
            <w:tcW w:w="1473" w:type="dxa"/>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c>
          <w:tcPr>
            <w:tcW w:w="1568"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567"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7</w:t>
            </w:r>
          </w:p>
        </w:tc>
        <w:tc>
          <w:tcPr>
            <w:tcW w:w="1433"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396"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七、文化旅游体育与传媒支出</w:t>
            </w:r>
          </w:p>
        </w:tc>
        <w:tc>
          <w:tcPr>
            <w:tcW w:w="5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36</w:t>
            </w:r>
          </w:p>
        </w:tc>
        <w:tc>
          <w:tcPr>
            <w:tcW w:w="1473" w:type="dxa"/>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c>
          <w:tcPr>
            <w:tcW w:w="1568"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567"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8</w:t>
            </w:r>
          </w:p>
        </w:tc>
        <w:tc>
          <w:tcPr>
            <w:tcW w:w="1433"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396"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八、社会保障和就业支出</w:t>
            </w:r>
          </w:p>
        </w:tc>
        <w:tc>
          <w:tcPr>
            <w:tcW w:w="5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37</w:t>
            </w:r>
          </w:p>
        </w:tc>
        <w:tc>
          <w:tcPr>
            <w:tcW w:w="1473" w:type="dxa"/>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rFonts w:hint="eastAsia"/>
                <w:sz w:val="18"/>
                <w:szCs w:val="21"/>
              </w:rPr>
              <w:t>2308273.35</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rFonts w:hint="eastAsia"/>
                <w:sz w:val="18"/>
                <w:szCs w:val="21"/>
              </w:rPr>
              <w:t>2308273.35</w:t>
            </w:r>
          </w:p>
        </w:tc>
        <w:tc>
          <w:tcPr>
            <w:tcW w:w="1568"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567"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9</w:t>
            </w:r>
          </w:p>
        </w:tc>
        <w:tc>
          <w:tcPr>
            <w:tcW w:w="1433"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396"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九、卫生健康支出</w:t>
            </w:r>
          </w:p>
        </w:tc>
        <w:tc>
          <w:tcPr>
            <w:tcW w:w="5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38</w:t>
            </w:r>
          </w:p>
        </w:tc>
        <w:tc>
          <w:tcPr>
            <w:tcW w:w="1473" w:type="dxa"/>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rFonts w:hint="eastAsia"/>
                <w:sz w:val="18"/>
                <w:szCs w:val="21"/>
              </w:rPr>
              <w:t>1608434.10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rFonts w:hint="eastAsia"/>
                <w:sz w:val="18"/>
                <w:szCs w:val="21"/>
              </w:rPr>
              <w:t>1608434.10</w:t>
            </w:r>
          </w:p>
        </w:tc>
        <w:tc>
          <w:tcPr>
            <w:tcW w:w="1568"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567"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10</w:t>
            </w:r>
          </w:p>
        </w:tc>
        <w:tc>
          <w:tcPr>
            <w:tcW w:w="1433"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396"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十、节能环保支出</w:t>
            </w:r>
          </w:p>
        </w:tc>
        <w:tc>
          <w:tcPr>
            <w:tcW w:w="5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39</w:t>
            </w:r>
          </w:p>
        </w:tc>
        <w:tc>
          <w:tcPr>
            <w:tcW w:w="1473" w:type="dxa"/>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rFonts w:hint="eastAsia"/>
                <w:sz w:val="18"/>
                <w:szCs w:val="21"/>
              </w:rPr>
              <w:t>11363776.00</w:t>
            </w:r>
            <w:r>
              <w:rPr>
                <w:sz w:val="18"/>
                <w:szCs w:val="21"/>
              </w:rPr>
              <w:t>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rFonts w:hint="eastAsia"/>
                <w:sz w:val="18"/>
                <w:szCs w:val="21"/>
              </w:rPr>
              <w:t>11363776.00</w:t>
            </w:r>
            <w:r>
              <w:rPr>
                <w:sz w:val="18"/>
                <w:szCs w:val="21"/>
              </w:rPr>
              <w:t>0</w:t>
            </w:r>
          </w:p>
        </w:tc>
        <w:tc>
          <w:tcPr>
            <w:tcW w:w="1568"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567"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11</w:t>
            </w:r>
          </w:p>
        </w:tc>
        <w:tc>
          <w:tcPr>
            <w:tcW w:w="1433"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396"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十一、城乡社区支出</w:t>
            </w:r>
          </w:p>
        </w:tc>
        <w:tc>
          <w:tcPr>
            <w:tcW w:w="5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40</w:t>
            </w:r>
          </w:p>
        </w:tc>
        <w:tc>
          <w:tcPr>
            <w:tcW w:w="1473" w:type="dxa"/>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rFonts w:hint="eastAsia"/>
                <w:sz w:val="18"/>
                <w:szCs w:val="21"/>
              </w:rPr>
              <w:t>895734.00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rFonts w:hint="eastAsia"/>
                <w:sz w:val="18"/>
                <w:szCs w:val="21"/>
              </w:rPr>
              <w:t>895734.00</w:t>
            </w:r>
          </w:p>
        </w:tc>
        <w:tc>
          <w:tcPr>
            <w:tcW w:w="1568"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567"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auto"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auto"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12</w:t>
            </w:r>
          </w:p>
        </w:tc>
        <w:tc>
          <w:tcPr>
            <w:tcW w:w="1433" w:type="dxa"/>
            <w:tcBorders>
              <w:top w:val="nil"/>
              <w:left w:val="single" w:color="000000" w:sz="8" w:space="0"/>
              <w:bottom w:val="single" w:color="auto" w:sz="4" w:space="0"/>
              <w:right w:val="single" w:color="000000" w:sz="4" w:space="0"/>
            </w:tcBorders>
            <w:shd w:val="clear" w:color="auto" w:fill="auto"/>
            <w:vAlign w:val="center"/>
          </w:tcPr>
          <w:p>
            <w:pPr>
              <w:jc w:val="right"/>
              <w:rPr>
                <w:sz w:val="16"/>
                <w:szCs w:val="16"/>
              </w:rPr>
            </w:pPr>
          </w:p>
        </w:tc>
        <w:tc>
          <w:tcPr>
            <w:tcW w:w="3396" w:type="dxa"/>
            <w:tcBorders>
              <w:top w:val="nil"/>
              <w:left w:val="nil"/>
              <w:bottom w:val="single" w:color="auto"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十二、农林水支出</w:t>
            </w:r>
          </w:p>
        </w:tc>
        <w:tc>
          <w:tcPr>
            <w:tcW w:w="518" w:type="dxa"/>
            <w:tcBorders>
              <w:top w:val="nil"/>
              <w:left w:val="nil"/>
              <w:bottom w:val="single" w:color="auto"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41</w:t>
            </w:r>
          </w:p>
        </w:tc>
        <w:tc>
          <w:tcPr>
            <w:tcW w:w="1473" w:type="dxa"/>
            <w:tcBorders>
              <w:top w:val="nil"/>
              <w:left w:val="nil"/>
              <w:bottom w:val="single" w:color="auto" w:sz="4" w:space="0"/>
              <w:right w:val="single" w:color="000000" w:sz="4" w:space="0"/>
            </w:tcBorders>
            <w:shd w:val="clear" w:color="auto" w:fill="auto"/>
            <w:vAlign w:val="center"/>
          </w:tcPr>
          <w:p>
            <w:pPr>
              <w:widowControl/>
              <w:jc w:val="right"/>
              <w:textAlignment w:val="center"/>
              <w:rPr>
                <w:sz w:val="18"/>
                <w:szCs w:val="21"/>
              </w:rPr>
            </w:pPr>
            <w:r>
              <w:rPr>
                <w:rFonts w:hint="eastAsia"/>
                <w:sz w:val="18"/>
                <w:szCs w:val="21"/>
              </w:rPr>
              <w:t>42178348.01</w:t>
            </w:r>
          </w:p>
        </w:tc>
        <w:tc>
          <w:tcPr>
            <w:tcW w:w="1336" w:type="dxa"/>
            <w:tcBorders>
              <w:top w:val="nil"/>
              <w:left w:val="nil"/>
              <w:bottom w:val="single" w:color="auto" w:sz="4" w:space="0"/>
              <w:right w:val="single" w:color="000000" w:sz="4" w:space="0"/>
            </w:tcBorders>
            <w:shd w:val="clear" w:color="auto" w:fill="auto"/>
            <w:vAlign w:val="center"/>
          </w:tcPr>
          <w:p>
            <w:pPr>
              <w:widowControl/>
              <w:jc w:val="right"/>
              <w:textAlignment w:val="center"/>
              <w:rPr>
                <w:color w:val="000000"/>
                <w:kern w:val="0"/>
                <w:sz w:val="15"/>
                <w:szCs w:val="15"/>
              </w:rPr>
            </w:pPr>
            <w:r>
              <w:rPr>
                <w:rFonts w:hint="eastAsia"/>
                <w:sz w:val="18"/>
                <w:szCs w:val="21"/>
              </w:rPr>
              <w:t>42178348.01</w:t>
            </w:r>
          </w:p>
        </w:tc>
        <w:tc>
          <w:tcPr>
            <w:tcW w:w="1568" w:type="dxa"/>
            <w:gridSpan w:val="2"/>
            <w:tcBorders>
              <w:top w:val="nil"/>
              <w:left w:val="nil"/>
              <w:bottom w:val="single" w:color="auto"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567" w:type="dxa"/>
            <w:tcBorders>
              <w:top w:val="nil"/>
              <w:left w:val="nil"/>
              <w:bottom w:val="single" w:color="auto"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r>
      <w:tr>
        <w:tblPrEx>
          <w:tblCellMar>
            <w:top w:w="0" w:type="dxa"/>
            <w:left w:w="108" w:type="dxa"/>
            <w:bottom w:w="0" w:type="dxa"/>
            <w:right w:w="108" w:type="dxa"/>
          </w:tblCellMar>
        </w:tblPrEx>
        <w:trPr>
          <w:trHeight w:val="272" w:hRule="exact"/>
        </w:trPr>
        <w:tc>
          <w:tcPr>
            <w:tcW w:w="3026" w:type="dxa"/>
            <w:tcBorders>
              <w:top w:val="single" w:color="auto" w:sz="4" w:space="0"/>
              <w:left w:val="single" w:color="auto" w:sz="4" w:space="0"/>
              <w:bottom w:val="single" w:color="auto" w:sz="4" w:space="0"/>
              <w:right w:val="single" w:color="auto" w:sz="4" w:space="0"/>
            </w:tcBorders>
            <w:shd w:val="clear" w:color="auto" w:fill="C0C0C0"/>
            <w:vAlign w:val="center"/>
          </w:tcPr>
          <w:p>
            <w:pPr>
              <w:jc w:val="left"/>
              <w:rPr>
                <w:color w:val="000000"/>
                <w:kern w:val="0"/>
                <w:sz w:val="15"/>
                <w:szCs w:val="15"/>
              </w:rPr>
            </w:pPr>
          </w:p>
        </w:tc>
        <w:tc>
          <w:tcPr>
            <w:tcW w:w="503"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13</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sz w:val="16"/>
                <w:szCs w:val="16"/>
              </w:rPr>
            </w:pPr>
          </w:p>
        </w:tc>
        <w:tc>
          <w:tcPr>
            <w:tcW w:w="3396"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十三、交通运输支出</w:t>
            </w:r>
          </w:p>
        </w:tc>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42</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sz w:val="18"/>
                <w:szCs w:val="21"/>
              </w:rPr>
            </w:pPr>
            <w:r>
              <w:rPr>
                <w:sz w:val="18"/>
                <w:szCs w:val="21"/>
              </w:rPr>
              <w:t>0.00</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c>
          <w:tcPr>
            <w:tcW w:w="1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sz w:val="18"/>
                <w:szCs w:val="21"/>
              </w:rPr>
            </w:pPr>
            <w:r>
              <w:rPr>
                <w:sz w:val="18"/>
                <w:szCs w:val="21"/>
              </w:rPr>
              <w:t>0.00</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r>
      <w:tr>
        <w:tblPrEx>
          <w:tblCellMar>
            <w:top w:w="0" w:type="dxa"/>
            <w:left w:w="108" w:type="dxa"/>
            <w:bottom w:w="0" w:type="dxa"/>
            <w:right w:w="108" w:type="dxa"/>
          </w:tblCellMar>
        </w:tblPrEx>
        <w:trPr>
          <w:trHeight w:val="272" w:hRule="exact"/>
        </w:trPr>
        <w:tc>
          <w:tcPr>
            <w:tcW w:w="3026" w:type="dxa"/>
            <w:tcBorders>
              <w:top w:val="single" w:color="auto" w:sz="4" w:space="0"/>
              <w:left w:val="single" w:color="auto" w:sz="4" w:space="0"/>
              <w:bottom w:val="single" w:color="auto" w:sz="4" w:space="0"/>
              <w:right w:val="single" w:color="auto" w:sz="4" w:space="0"/>
            </w:tcBorders>
            <w:shd w:val="clear" w:color="auto" w:fill="C0C0C0"/>
            <w:vAlign w:val="center"/>
          </w:tcPr>
          <w:p>
            <w:pPr>
              <w:jc w:val="left"/>
              <w:rPr>
                <w:color w:val="000000"/>
                <w:kern w:val="0"/>
                <w:sz w:val="15"/>
                <w:szCs w:val="15"/>
              </w:rPr>
            </w:pPr>
          </w:p>
        </w:tc>
        <w:tc>
          <w:tcPr>
            <w:tcW w:w="503"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14</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sz w:val="16"/>
                <w:szCs w:val="16"/>
              </w:rPr>
            </w:pPr>
          </w:p>
        </w:tc>
        <w:tc>
          <w:tcPr>
            <w:tcW w:w="3396"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十四、资源勘探工业信息等支出</w:t>
            </w:r>
          </w:p>
        </w:tc>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43</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sz w:val="18"/>
                <w:szCs w:val="21"/>
              </w:rPr>
            </w:pPr>
            <w:r>
              <w:rPr>
                <w:sz w:val="18"/>
                <w:szCs w:val="21"/>
              </w:rPr>
              <w:t>0.00</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c>
          <w:tcPr>
            <w:tcW w:w="1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sz w:val="18"/>
                <w:szCs w:val="21"/>
              </w:rPr>
            </w:pPr>
            <w:r>
              <w:rPr>
                <w:sz w:val="18"/>
                <w:szCs w:val="21"/>
              </w:rPr>
              <w:t>0.00</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r>
      <w:tr>
        <w:tblPrEx>
          <w:tblCellMar>
            <w:top w:w="0" w:type="dxa"/>
            <w:left w:w="108" w:type="dxa"/>
            <w:bottom w:w="0" w:type="dxa"/>
            <w:right w:w="108" w:type="dxa"/>
          </w:tblCellMar>
        </w:tblPrEx>
        <w:trPr>
          <w:trHeight w:val="272" w:hRule="exact"/>
        </w:trPr>
        <w:tc>
          <w:tcPr>
            <w:tcW w:w="3026" w:type="dxa"/>
            <w:tcBorders>
              <w:top w:val="single" w:color="auto" w:sz="4" w:space="0"/>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single" w:color="auto" w:sz="4" w:space="0"/>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15</w:t>
            </w:r>
          </w:p>
        </w:tc>
        <w:tc>
          <w:tcPr>
            <w:tcW w:w="1433" w:type="dxa"/>
            <w:tcBorders>
              <w:top w:val="single" w:color="auto" w:sz="4" w:space="0"/>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396" w:type="dxa"/>
            <w:tcBorders>
              <w:top w:val="single" w:color="auto" w:sz="4" w:space="0"/>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十五、商业服务业等支出</w:t>
            </w:r>
          </w:p>
        </w:tc>
        <w:tc>
          <w:tcPr>
            <w:tcW w:w="518" w:type="dxa"/>
            <w:tcBorders>
              <w:top w:val="single" w:color="auto" w:sz="4" w:space="0"/>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44</w:t>
            </w:r>
          </w:p>
        </w:tc>
        <w:tc>
          <w:tcPr>
            <w:tcW w:w="1473" w:type="dxa"/>
            <w:tcBorders>
              <w:top w:val="single" w:color="auto" w:sz="4" w:space="0"/>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336" w:type="dxa"/>
            <w:tcBorders>
              <w:top w:val="single" w:color="auto" w:sz="4" w:space="0"/>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c>
          <w:tcPr>
            <w:tcW w:w="1568"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567" w:type="dxa"/>
            <w:tcBorders>
              <w:top w:val="single" w:color="auto" w:sz="4" w:space="0"/>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16</w:t>
            </w:r>
          </w:p>
        </w:tc>
        <w:tc>
          <w:tcPr>
            <w:tcW w:w="1433"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396"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十六、金融支出</w:t>
            </w:r>
          </w:p>
        </w:tc>
        <w:tc>
          <w:tcPr>
            <w:tcW w:w="5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45</w:t>
            </w:r>
          </w:p>
        </w:tc>
        <w:tc>
          <w:tcPr>
            <w:tcW w:w="1473" w:type="dxa"/>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c>
          <w:tcPr>
            <w:tcW w:w="1568"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567"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17</w:t>
            </w:r>
          </w:p>
        </w:tc>
        <w:tc>
          <w:tcPr>
            <w:tcW w:w="1433"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396"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十七、援助其他地区支出</w:t>
            </w:r>
          </w:p>
        </w:tc>
        <w:tc>
          <w:tcPr>
            <w:tcW w:w="5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46</w:t>
            </w:r>
          </w:p>
        </w:tc>
        <w:tc>
          <w:tcPr>
            <w:tcW w:w="1473" w:type="dxa"/>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c>
          <w:tcPr>
            <w:tcW w:w="1568"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567"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18</w:t>
            </w:r>
          </w:p>
        </w:tc>
        <w:tc>
          <w:tcPr>
            <w:tcW w:w="1433"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396"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十八、自然资源海洋气象等支出</w:t>
            </w:r>
          </w:p>
        </w:tc>
        <w:tc>
          <w:tcPr>
            <w:tcW w:w="5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47</w:t>
            </w:r>
          </w:p>
        </w:tc>
        <w:tc>
          <w:tcPr>
            <w:tcW w:w="1473" w:type="dxa"/>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c>
          <w:tcPr>
            <w:tcW w:w="1568"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567"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19</w:t>
            </w:r>
          </w:p>
        </w:tc>
        <w:tc>
          <w:tcPr>
            <w:tcW w:w="1433"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396"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十九、住房保障支出</w:t>
            </w:r>
          </w:p>
        </w:tc>
        <w:tc>
          <w:tcPr>
            <w:tcW w:w="5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48</w:t>
            </w:r>
          </w:p>
        </w:tc>
        <w:tc>
          <w:tcPr>
            <w:tcW w:w="1473" w:type="dxa"/>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rFonts w:hint="eastAsia"/>
                <w:sz w:val="18"/>
                <w:szCs w:val="21"/>
              </w:rPr>
              <w:t>881670.70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rFonts w:hint="eastAsia"/>
                <w:sz w:val="18"/>
                <w:szCs w:val="21"/>
              </w:rPr>
              <w:t>881670.70</w:t>
            </w:r>
          </w:p>
        </w:tc>
        <w:tc>
          <w:tcPr>
            <w:tcW w:w="1568"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567"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20</w:t>
            </w:r>
          </w:p>
        </w:tc>
        <w:tc>
          <w:tcPr>
            <w:tcW w:w="1433"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396"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二十、粮油物资储备支出</w:t>
            </w:r>
          </w:p>
        </w:tc>
        <w:tc>
          <w:tcPr>
            <w:tcW w:w="5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49</w:t>
            </w:r>
          </w:p>
        </w:tc>
        <w:tc>
          <w:tcPr>
            <w:tcW w:w="1473" w:type="dxa"/>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c>
          <w:tcPr>
            <w:tcW w:w="1568"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567"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21</w:t>
            </w:r>
          </w:p>
        </w:tc>
        <w:tc>
          <w:tcPr>
            <w:tcW w:w="1433"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396"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二十一、国有资本经营预算支出</w:t>
            </w:r>
          </w:p>
        </w:tc>
        <w:tc>
          <w:tcPr>
            <w:tcW w:w="5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50</w:t>
            </w:r>
          </w:p>
        </w:tc>
        <w:tc>
          <w:tcPr>
            <w:tcW w:w="1473" w:type="dxa"/>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c>
          <w:tcPr>
            <w:tcW w:w="1568"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567"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22</w:t>
            </w:r>
          </w:p>
        </w:tc>
        <w:tc>
          <w:tcPr>
            <w:tcW w:w="1433"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396"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二十二、灾害防治及应急管理支出</w:t>
            </w:r>
          </w:p>
        </w:tc>
        <w:tc>
          <w:tcPr>
            <w:tcW w:w="5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51</w:t>
            </w:r>
          </w:p>
        </w:tc>
        <w:tc>
          <w:tcPr>
            <w:tcW w:w="1473" w:type="dxa"/>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c>
          <w:tcPr>
            <w:tcW w:w="1568"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567"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jc w:val="left"/>
              <w:rPr>
                <w:color w:val="000000"/>
                <w:kern w:val="0"/>
                <w:sz w:val="15"/>
                <w:szCs w:val="15"/>
              </w:rPr>
            </w:pP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23</w:t>
            </w:r>
          </w:p>
        </w:tc>
        <w:tc>
          <w:tcPr>
            <w:tcW w:w="1433"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p>
        </w:tc>
        <w:tc>
          <w:tcPr>
            <w:tcW w:w="3396"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二十三、其他支出</w:t>
            </w:r>
          </w:p>
        </w:tc>
        <w:tc>
          <w:tcPr>
            <w:tcW w:w="5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52</w:t>
            </w:r>
          </w:p>
        </w:tc>
        <w:tc>
          <w:tcPr>
            <w:tcW w:w="1473" w:type="dxa"/>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c>
          <w:tcPr>
            <w:tcW w:w="1568"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567"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b/>
                <w:bCs/>
                <w:color w:val="000000"/>
                <w:kern w:val="0"/>
                <w:sz w:val="15"/>
                <w:szCs w:val="15"/>
              </w:rPr>
            </w:pPr>
            <w:r>
              <w:rPr>
                <w:rFonts w:hint="eastAsia" w:ascii="宋体" w:hAnsi="宋体" w:cs="宋体"/>
                <w:b/>
                <w:color w:val="000000"/>
                <w:kern w:val="0"/>
                <w:sz w:val="22"/>
              </w:rPr>
              <w:t>本年收入合计</w:t>
            </w: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24</w:t>
            </w:r>
          </w:p>
        </w:tc>
        <w:tc>
          <w:tcPr>
            <w:tcW w:w="1433"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r>
              <w:rPr>
                <w:rFonts w:hint="eastAsia"/>
                <w:sz w:val="16"/>
                <w:szCs w:val="16"/>
              </w:rPr>
              <w:t>247117861.84</w:t>
            </w:r>
          </w:p>
        </w:tc>
        <w:tc>
          <w:tcPr>
            <w:tcW w:w="3396"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二十四、债务还本支出</w:t>
            </w:r>
          </w:p>
        </w:tc>
        <w:tc>
          <w:tcPr>
            <w:tcW w:w="5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53</w:t>
            </w:r>
          </w:p>
        </w:tc>
        <w:tc>
          <w:tcPr>
            <w:tcW w:w="1473" w:type="dxa"/>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textAlignment w:val="center"/>
              <w:rPr>
                <w:b/>
                <w:bCs/>
                <w:color w:val="000000"/>
                <w:kern w:val="0"/>
                <w:sz w:val="15"/>
                <w:szCs w:val="15"/>
              </w:rPr>
            </w:pPr>
            <w:r>
              <w:rPr>
                <w:b/>
                <w:bCs/>
                <w:color w:val="000000"/>
                <w:kern w:val="0"/>
                <w:sz w:val="15"/>
                <w:szCs w:val="15"/>
              </w:rPr>
              <w:t>0.00</w:t>
            </w:r>
          </w:p>
        </w:tc>
        <w:tc>
          <w:tcPr>
            <w:tcW w:w="1568"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567"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widowControl/>
              <w:jc w:val="left"/>
              <w:textAlignment w:val="center"/>
              <w:rPr>
                <w:color w:val="000000"/>
                <w:kern w:val="0"/>
                <w:sz w:val="15"/>
                <w:szCs w:val="15"/>
              </w:rPr>
            </w:pPr>
            <w:r>
              <w:rPr>
                <w:rFonts w:hint="eastAsia" w:ascii="宋体" w:hAnsi="宋体" w:cs="宋体"/>
                <w:color w:val="000000"/>
                <w:kern w:val="0"/>
                <w:sz w:val="22"/>
              </w:rPr>
              <w:t>年初财政拨款结转和结余</w:t>
            </w: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25</w:t>
            </w:r>
          </w:p>
        </w:tc>
        <w:tc>
          <w:tcPr>
            <w:tcW w:w="1433"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r>
              <w:rPr>
                <w:rFonts w:hint="eastAsia"/>
                <w:sz w:val="16"/>
                <w:szCs w:val="16"/>
              </w:rPr>
              <w:t>842166.06</w:t>
            </w:r>
          </w:p>
        </w:tc>
        <w:tc>
          <w:tcPr>
            <w:tcW w:w="3396"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二十五、债务付息支出</w:t>
            </w:r>
          </w:p>
        </w:tc>
        <w:tc>
          <w:tcPr>
            <w:tcW w:w="5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54</w:t>
            </w:r>
          </w:p>
        </w:tc>
        <w:tc>
          <w:tcPr>
            <w:tcW w:w="1473" w:type="dxa"/>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c>
          <w:tcPr>
            <w:tcW w:w="1568"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567"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r>
      <w:tr>
        <w:tblPrEx>
          <w:tblCellMar>
            <w:top w:w="0" w:type="dxa"/>
            <w:left w:w="108" w:type="dxa"/>
            <w:bottom w:w="0" w:type="dxa"/>
            <w:right w:w="108" w:type="dxa"/>
          </w:tblCellMar>
        </w:tblPrEx>
        <w:trPr>
          <w:trHeight w:val="272" w:hRule="exact"/>
        </w:trPr>
        <w:tc>
          <w:tcPr>
            <w:tcW w:w="3026" w:type="dxa"/>
            <w:tcBorders>
              <w:top w:val="nil"/>
              <w:left w:val="single" w:color="000000" w:sz="8" w:space="0"/>
              <w:bottom w:val="single" w:color="000000" w:sz="4" w:space="0"/>
              <w:right w:val="single" w:color="000000" w:sz="4" w:space="0"/>
            </w:tcBorders>
            <w:shd w:val="clear" w:color="auto" w:fill="C0C0C0"/>
            <w:vAlign w:val="center"/>
          </w:tcPr>
          <w:p>
            <w:pPr>
              <w:widowControl/>
              <w:jc w:val="left"/>
              <w:textAlignment w:val="center"/>
              <w:rPr>
                <w:color w:val="000000"/>
                <w:kern w:val="0"/>
                <w:sz w:val="15"/>
                <w:szCs w:val="15"/>
              </w:rPr>
            </w:pPr>
            <w:r>
              <w:rPr>
                <w:rFonts w:hint="eastAsia" w:ascii="宋体" w:hAnsi="宋体" w:cs="宋体"/>
                <w:color w:val="000000"/>
                <w:kern w:val="0"/>
                <w:sz w:val="22"/>
              </w:rPr>
              <w:t>一、一般公共预算财政拨款</w:t>
            </w:r>
          </w:p>
        </w:tc>
        <w:tc>
          <w:tcPr>
            <w:tcW w:w="503" w:type="dxa"/>
            <w:tcBorders>
              <w:top w:val="nil"/>
              <w:left w:val="single" w:color="000000" w:sz="8" w:space="0"/>
              <w:bottom w:val="single" w:color="000000"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26</w:t>
            </w:r>
          </w:p>
        </w:tc>
        <w:tc>
          <w:tcPr>
            <w:tcW w:w="1433" w:type="dxa"/>
            <w:tcBorders>
              <w:top w:val="nil"/>
              <w:left w:val="single" w:color="000000" w:sz="8" w:space="0"/>
              <w:bottom w:val="single" w:color="000000" w:sz="4" w:space="0"/>
              <w:right w:val="single" w:color="000000" w:sz="4" w:space="0"/>
            </w:tcBorders>
            <w:shd w:val="clear" w:color="auto" w:fill="auto"/>
            <w:vAlign w:val="center"/>
          </w:tcPr>
          <w:p>
            <w:pPr>
              <w:jc w:val="right"/>
              <w:rPr>
                <w:sz w:val="16"/>
                <w:szCs w:val="16"/>
              </w:rPr>
            </w:pPr>
            <w:r>
              <w:rPr>
                <w:rFonts w:hint="eastAsia"/>
                <w:sz w:val="16"/>
                <w:szCs w:val="16"/>
              </w:rPr>
              <w:t>842166.06</w:t>
            </w:r>
          </w:p>
        </w:tc>
        <w:tc>
          <w:tcPr>
            <w:tcW w:w="3396" w:type="dxa"/>
            <w:tcBorders>
              <w:top w:val="nil"/>
              <w:left w:val="nil"/>
              <w:bottom w:val="single" w:color="000000"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二十六、抗疫特别国债安排的支出</w:t>
            </w:r>
          </w:p>
        </w:tc>
        <w:tc>
          <w:tcPr>
            <w:tcW w:w="5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55</w:t>
            </w:r>
          </w:p>
        </w:tc>
        <w:tc>
          <w:tcPr>
            <w:tcW w:w="1473" w:type="dxa"/>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c>
          <w:tcPr>
            <w:tcW w:w="1568" w:type="dxa"/>
            <w:gridSpan w:val="2"/>
            <w:tcBorders>
              <w:top w:val="nil"/>
              <w:left w:val="nil"/>
              <w:bottom w:val="single" w:color="000000"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567" w:type="dxa"/>
            <w:tcBorders>
              <w:top w:val="nil"/>
              <w:left w:val="nil"/>
              <w:bottom w:val="single" w:color="000000"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r>
      <w:tr>
        <w:tblPrEx>
          <w:tblCellMar>
            <w:top w:w="0" w:type="dxa"/>
            <w:left w:w="108" w:type="dxa"/>
            <w:bottom w:w="0" w:type="dxa"/>
            <w:right w:w="108" w:type="dxa"/>
          </w:tblCellMar>
        </w:tblPrEx>
        <w:trPr>
          <w:trHeight w:val="280" w:hRule="exact"/>
        </w:trPr>
        <w:tc>
          <w:tcPr>
            <w:tcW w:w="3026" w:type="dxa"/>
            <w:tcBorders>
              <w:top w:val="nil"/>
              <w:left w:val="single" w:color="000000" w:sz="8" w:space="0"/>
              <w:bottom w:val="single" w:color="auto" w:sz="4" w:space="0"/>
              <w:right w:val="single" w:color="000000" w:sz="4" w:space="0"/>
            </w:tcBorders>
            <w:shd w:val="clear" w:color="auto" w:fill="C0C0C0"/>
            <w:vAlign w:val="center"/>
          </w:tcPr>
          <w:p>
            <w:pPr>
              <w:widowControl/>
              <w:jc w:val="left"/>
              <w:textAlignment w:val="center"/>
              <w:rPr>
                <w:color w:val="000000"/>
                <w:kern w:val="0"/>
                <w:sz w:val="15"/>
                <w:szCs w:val="15"/>
              </w:rPr>
            </w:pPr>
            <w:r>
              <w:rPr>
                <w:rFonts w:hint="eastAsia" w:ascii="宋体" w:hAnsi="宋体" w:cs="宋体"/>
                <w:color w:val="000000"/>
                <w:kern w:val="0"/>
                <w:sz w:val="22"/>
              </w:rPr>
              <w:t>二、政府性基金预算财政拨款</w:t>
            </w:r>
          </w:p>
        </w:tc>
        <w:tc>
          <w:tcPr>
            <w:tcW w:w="503" w:type="dxa"/>
            <w:tcBorders>
              <w:top w:val="nil"/>
              <w:left w:val="single" w:color="000000" w:sz="8" w:space="0"/>
              <w:bottom w:val="single" w:color="auto" w:sz="4" w:space="0"/>
              <w:right w:val="single" w:color="000000"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27</w:t>
            </w:r>
          </w:p>
        </w:tc>
        <w:tc>
          <w:tcPr>
            <w:tcW w:w="1433" w:type="dxa"/>
            <w:tcBorders>
              <w:top w:val="nil"/>
              <w:left w:val="single" w:color="000000" w:sz="8" w:space="0"/>
              <w:bottom w:val="single" w:color="auto"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3396" w:type="dxa"/>
            <w:tcBorders>
              <w:top w:val="nil"/>
              <w:left w:val="nil"/>
              <w:bottom w:val="single" w:color="auto" w:sz="4" w:space="0"/>
              <w:right w:val="single" w:color="000000" w:sz="4" w:space="0"/>
            </w:tcBorders>
            <w:shd w:val="clear" w:color="auto" w:fill="D7D7D7" w:themeFill="background1" w:themeFillShade="D8"/>
            <w:vAlign w:val="center"/>
          </w:tcPr>
          <w:p>
            <w:pPr>
              <w:widowControl/>
              <w:jc w:val="center"/>
              <w:textAlignment w:val="center"/>
              <w:rPr>
                <w:color w:val="000000"/>
                <w:kern w:val="0"/>
                <w:sz w:val="15"/>
                <w:szCs w:val="15"/>
              </w:rPr>
            </w:pPr>
            <w:r>
              <w:rPr>
                <w:rFonts w:hint="eastAsia" w:ascii="宋体" w:hAnsi="宋体" w:cs="宋体"/>
                <w:b/>
                <w:color w:val="000000"/>
                <w:kern w:val="0"/>
                <w:sz w:val="20"/>
                <w:szCs w:val="20"/>
              </w:rPr>
              <w:t>本年支出合计</w:t>
            </w:r>
          </w:p>
        </w:tc>
        <w:tc>
          <w:tcPr>
            <w:tcW w:w="518" w:type="dxa"/>
            <w:tcBorders>
              <w:top w:val="nil"/>
              <w:left w:val="nil"/>
              <w:bottom w:val="single" w:color="auto" w:sz="4" w:space="0"/>
              <w:right w:val="single" w:color="000000"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56</w:t>
            </w:r>
          </w:p>
        </w:tc>
        <w:tc>
          <w:tcPr>
            <w:tcW w:w="1473" w:type="dxa"/>
            <w:tcBorders>
              <w:top w:val="nil"/>
              <w:left w:val="nil"/>
              <w:bottom w:val="single" w:color="auto" w:sz="4" w:space="0"/>
              <w:right w:val="single" w:color="000000" w:sz="4" w:space="0"/>
            </w:tcBorders>
            <w:shd w:val="clear" w:color="auto" w:fill="auto"/>
            <w:vAlign w:val="center"/>
          </w:tcPr>
          <w:p>
            <w:pPr>
              <w:widowControl/>
              <w:jc w:val="right"/>
              <w:textAlignment w:val="center"/>
              <w:rPr>
                <w:sz w:val="18"/>
                <w:szCs w:val="21"/>
              </w:rPr>
            </w:pPr>
            <w:r>
              <w:rPr>
                <w:rFonts w:hint="eastAsia"/>
                <w:sz w:val="18"/>
                <w:szCs w:val="21"/>
              </w:rPr>
              <w:t>246790062.73</w:t>
            </w:r>
          </w:p>
        </w:tc>
        <w:tc>
          <w:tcPr>
            <w:tcW w:w="1336" w:type="dxa"/>
            <w:tcBorders>
              <w:top w:val="nil"/>
              <w:left w:val="nil"/>
              <w:bottom w:val="single" w:color="auto" w:sz="4" w:space="0"/>
              <w:right w:val="single" w:color="000000" w:sz="4" w:space="0"/>
            </w:tcBorders>
            <w:shd w:val="clear" w:color="auto" w:fill="auto"/>
            <w:vAlign w:val="center"/>
          </w:tcPr>
          <w:p>
            <w:pPr>
              <w:widowControl/>
              <w:jc w:val="right"/>
              <w:textAlignment w:val="center"/>
              <w:rPr>
                <w:color w:val="000000"/>
                <w:kern w:val="0"/>
                <w:sz w:val="15"/>
                <w:szCs w:val="15"/>
              </w:rPr>
            </w:pPr>
            <w:r>
              <w:rPr>
                <w:rFonts w:hint="eastAsia"/>
                <w:sz w:val="18"/>
                <w:szCs w:val="21"/>
              </w:rPr>
              <w:t>246790062.73</w:t>
            </w:r>
          </w:p>
        </w:tc>
        <w:tc>
          <w:tcPr>
            <w:tcW w:w="1568" w:type="dxa"/>
            <w:gridSpan w:val="2"/>
            <w:tcBorders>
              <w:top w:val="nil"/>
              <w:left w:val="nil"/>
              <w:bottom w:val="single" w:color="auto" w:sz="4" w:space="0"/>
              <w:right w:val="single" w:color="000000" w:sz="4" w:space="0"/>
            </w:tcBorders>
            <w:shd w:val="clear" w:color="auto" w:fill="auto"/>
            <w:vAlign w:val="center"/>
          </w:tcPr>
          <w:p>
            <w:pPr>
              <w:widowControl/>
              <w:jc w:val="right"/>
              <w:textAlignment w:val="center"/>
              <w:rPr>
                <w:sz w:val="18"/>
                <w:szCs w:val="21"/>
              </w:rPr>
            </w:pPr>
            <w:r>
              <w:rPr>
                <w:sz w:val="18"/>
                <w:szCs w:val="21"/>
              </w:rPr>
              <w:t>0.00</w:t>
            </w:r>
          </w:p>
        </w:tc>
        <w:tc>
          <w:tcPr>
            <w:tcW w:w="1567" w:type="dxa"/>
            <w:tcBorders>
              <w:top w:val="nil"/>
              <w:left w:val="nil"/>
              <w:bottom w:val="single" w:color="auto" w:sz="4" w:space="0"/>
              <w:right w:val="single" w:color="000000"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r>
      <w:tr>
        <w:tblPrEx>
          <w:tblCellMar>
            <w:top w:w="0" w:type="dxa"/>
            <w:left w:w="108" w:type="dxa"/>
            <w:bottom w:w="0" w:type="dxa"/>
            <w:right w:w="108" w:type="dxa"/>
          </w:tblCellMar>
        </w:tblPrEx>
        <w:trPr>
          <w:trHeight w:val="280" w:hRule="exact"/>
        </w:trPr>
        <w:tc>
          <w:tcPr>
            <w:tcW w:w="3026" w:type="dxa"/>
            <w:tcBorders>
              <w:top w:val="nil"/>
              <w:left w:val="single" w:color="000000" w:sz="8" w:space="0"/>
              <w:bottom w:val="single" w:color="auto" w:sz="4" w:space="0"/>
              <w:right w:val="single" w:color="000000" w:sz="4" w:space="0"/>
            </w:tcBorders>
            <w:shd w:val="clear" w:color="auto" w:fill="C0C0C0"/>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三、国有资本经营预算财政拨</w:t>
            </w:r>
          </w:p>
        </w:tc>
        <w:tc>
          <w:tcPr>
            <w:tcW w:w="503" w:type="dxa"/>
            <w:tcBorders>
              <w:top w:val="nil"/>
              <w:left w:val="single" w:color="000000" w:sz="8" w:space="0"/>
              <w:bottom w:val="single" w:color="auto" w:sz="4" w:space="0"/>
              <w:right w:val="single" w:color="000000" w:sz="4" w:space="0"/>
            </w:tcBorders>
            <w:shd w:val="clear" w:color="auto" w:fill="C0C0C0"/>
            <w:vAlign w:val="center"/>
          </w:tcPr>
          <w:p>
            <w:pPr>
              <w:widowControl/>
              <w:jc w:val="center"/>
              <w:textAlignment w:val="center"/>
              <w:rPr>
                <w:rFonts w:ascii="宋体" w:hAnsi="宋体" w:cs="宋体"/>
                <w:color w:val="000000"/>
                <w:kern w:val="0"/>
                <w:sz w:val="20"/>
                <w:szCs w:val="20"/>
              </w:rPr>
            </w:pPr>
          </w:p>
        </w:tc>
        <w:tc>
          <w:tcPr>
            <w:tcW w:w="1433" w:type="dxa"/>
            <w:tcBorders>
              <w:top w:val="nil"/>
              <w:left w:val="single" w:color="000000" w:sz="8" w:space="0"/>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0"/>
                <w:szCs w:val="20"/>
              </w:rPr>
            </w:pPr>
            <w:r>
              <w:rPr>
                <w:sz w:val="18"/>
                <w:szCs w:val="21"/>
              </w:rPr>
              <w:t>0.00</w:t>
            </w:r>
          </w:p>
        </w:tc>
        <w:tc>
          <w:tcPr>
            <w:tcW w:w="3396" w:type="dxa"/>
            <w:tcBorders>
              <w:top w:val="nil"/>
              <w:left w:val="nil"/>
              <w:bottom w:val="single" w:color="auto" w:sz="4" w:space="0"/>
              <w:right w:val="single" w:color="000000" w:sz="4" w:space="0"/>
            </w:tcBorders>
            <w:shd w:val="clear" w:color="auto" w:fill="D7D7D7" w:themeFill="background1" w:themeFillShade="D8"/>
            <w:vAlign w:val="center"/>
          </w:tcPr>
          <w:p>
            <w:pPr>
              <w:widowControl/>
              <w:jc w:val="left"/>
              <w:textAlignment w:val="center"/>
              <w:rPr>
                <w:color w:val="000000"/>
                <w:kern w:val="0"/>
                <w:sz w:val="15"/>
                <w:szCs w:val="15"/>
              </w:rPr>
            </w:pPr>
            <w:r>
              <w:rPr>
                <w:rFonts w:hint="eastAsia" w:ascii="宋体" w:hAnsi="宋体" w:cs="宋体"/>
                <w:color w:val="000000"/>
                <w:kern w:val="0"/>
                <w:sz w:val="20"/>
                <w:szCs w:val="20"/>
              </w:rPr>
              <w:t>年末财政拨款结转和结余</w:t>
            </w:r>
          </w:p>
        </w:tc>
        <w:tc>
          <w:tcPr>
            <w:tcW w:w="518" w:type="dxa"/>
            <w:tcBorders>
              <w:top w:val="nil"/>
              <w:left w:val="nil"/>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57</w:t>
            </w:r>
          </w:p>
        </w:tc>
        <w:tc>
          <w:tcPr>
            <w:tcW w:w="1473" w:type="dxa"/>
            <w:tcBorders>
              <w:top w:val="nil"/>
              <w:left w:val="nil"/>
              <w:bottom w:val="single" w:color="auto" w:sz="4" w:space="0"/>
              <w:right w:val="single" w:color="000000" w:sz="4" w:space="0"/>
            </w:tcBorders>
            <w:shd w:val="clear" w:color="auto" w:fill="auto"/>
            <w:vAlign w:val="center"/>
          </w:tcPr>
          <w:p>
            <w:pPr>
              <w:widowControl/>
              <w:jc w:val="right"/>
              <w:textAlignment w:val="center"/>
              <w:rPr>
                <w:sz w:val="18"/>
                <w:szCs w:val="21"/>
              </w:rPr>
            </w:pPr>
            <w:r>
              <w:rPr>
                <w:rFonts w:hint="eastAsia"/>
                <w:sz w:val="18"/>
                <w:szCs w:val="21"/>
              </w:rPr>
              <w:t>1169965.07</w:t>
            </w:r>
          </w:p>
        </w:tc>
        <w:tc>
          <w:tcPr>
            <w:tcW w:w="1336" w:type="dxa"/>
            <w:tcBorders>
              <w:top w:val="nil"/>
              <w:left w:val="nil"/>
              <w:bottom w:val="single" w:color="auto" w:sz="4" w:space="0"/>
              <w:right w:val="single" w:color="000000" w:sz="4" w:space="0"/>
            </w:tcBorders>
            <w:shd w:val="clear" w:color="auto" w:fill="auto"/>
            <w:vAlign w:val="center"/>
          </w:tcPr>
          <w:p>
            <w:pPr>
              <w:widowControl/>
              <w:jc w:val="right"/>
              <w:textAlignment w:val="center"/>
              <w:rPr>
                <w:sz w:val="18"/>
                <w:szCs w:val="21"/>
              </w:rPr>
            </w:pPr>
            <w:r>
              <w:rPr>
                <w:rFonts w:hint="eastAsia"/>
                <w:sz w:val="18"/>
                <w:szCs w:val="21"/>
              </w:rPr>
              <w:t>1169965.07</w:t>
            </w:r>
          </w:p>
        </w:tc>
        <w:tc>
          <w:tcPr>
            <w:tcW w:w="1568" w:type="dxa"/>
            <w:gridSpan w:val="2"/>
            <w:tcBorders>
              <w:top w:val="nil"/>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0"/>
                <w:szCs w:val="20"/>
              </w:rPr>
            </w:pPr>
            <w:r>
              <w:rPr>
                <w:sz w:val="18"/>
                <w:szCs w:val="21"/>
              </w:rPr>
              <w:t>0.00</w:t>
            </w:r>
          </w:p>
        </w:tc>
        <w:tc>
          <w:tcPr>
            <w:tcW w:w="1567" w:type="dxa"/>
            <w:tcBorders>
              <w:top w:val="nil"/>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0"/>
                <w:szCs w:val="20"/>
              </w:rPr>
            </w:pPr>
            <w:r>
              <w:rPr>
                <w:color w:val="000000"/>
                <w:kern w:val="0"/>
                <w:sz w:val="15"/>
                <w:szCs w:val="15"/>
              </w:rPr>
              <w:t>0.00</w:t>
            </w:r>
          </w:p>
        </w:tc>
      </w:tr>
      <w:tr>
        <w:tblPrEx>
          <w:tblCellMar>
            <w:top w:w="0" w:type="dxa"/>
            <w:left w:w="108" w:type="dxa"/>
            <w:bottom w:w="0" w:type="dxa"/>
            <w:right w:w="108" w:type="dxa"/>
          </w:tblCellMar>
        </w:tblPrEx>
        <w:trPr>
          <w:trHeight w:val="284" w:hRule="exact"/>
        </w:trPr>
        <w:tc>
          <w:tcPr>
            <w:tcW w:w="3026"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b/>
                <w:bCs/>
                <w:color w:val="000000"/>
                <w:kern w:val="0"/>
                <w:sz w:val="15"/>
                <w:szCs w:val="15"/>
              </w:rPr>
            </w:pPr>
            <w:r>
              <w:rPr>
                <w:rFonts w:hint="eastAsia" w:ascii="宋体" w:hAnsi="宋体" w:cs="宋体"/>
                <w:b/>
                <w:bCs/>
                <w:color w:val="000000"/>
                <w:kern w:val="0"/>
                <w:sz w:val="22"/>
              </w:rPr>
              <w:t>总计</w:t>
            </w:r>
          </w:p>
        </w:tc>
        <w:tc>
          <w:tcPr>
            <w:tcW w:w="503"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sz w:val="18"/>
                <w:szCs w:val="21"/>
              </w:rPr>
            </w:pPr>
            <w:r>
              <w:rPr>
                <w:rFonts w:hint="eastAsia" w:ascii="宋体" w:hAnsi="宋体" w:cs="宋体"/>
                <w:color w:val="000000"/>
                <w:kern w:val="0"/>
                <w:sz w:val="20"/>
                <w:szCs w:val="20"/>
              </w:rPr>
              <w:t>28</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sz w:val="18"/>
                <w:szCs w:val="21"/>
              </w:rPr>
            </w:pPr>
            <w:r>
              <w:rPr>
                <w:rFonts w:hint="eastAsia"/>
                <w:sz w:val="18"/>
                <w:szCs w:val="21"/>
              </w:rPr>
              <w:t>247960027.90</w:t>
            </w:r>
          </w:p>
        </w:tc>
        <w:tc>
          <w:tcPr>
            <w:tcW w:w="3396"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textAlignment w:val="center"/>
              <w:rPr>
                <w:color w:val="000000"/>
                <w:kern w:val="0"/>
                <w:sz w:val="15"/>
                <w:szCs w:val="15"/>
              </w:rPr>
            </w:pPr>
            <w:r>
              <w:rPr>
                <w:rFonts w:hint="eastAsia" w:ascii="宋体" w:hAnsi="宋体" w:cs="宋体"/>
                <w:b/>
                <w:bCs/>
                <w:color w:val="000000"/>
                <w:kern w:val="0"/>
                <w:sz w:val="22"/>
              </w:rPr>
              <w:t>总计</w:t>
            </w:r>
          </w:p>
        </w:tc>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 w:val="18"/>
                <w:szCs w:val="21"/>
              </w:rPr>
            </w:pPr>
            <w:r>
              <w:rPr>
                <w:rFonts w:hint="eastAsia" w:ascii="宋体" w:hAnsi="宋体" w:cs="宋体"/>
                <w:color w:val="000000"/>
                <w:kern w:val="0"/>
                <w:sz w:val="20"/>
                <w:szCs w:val="20"/>
              </w:rPr>
              <w:t>58</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sz w:val="18"/>
                <w:szCs w:val="21"/>
              </w:rPr>
            </w:pPr>
            <w:r>
              <w:rPr>
                <w:rFonts w:hint="eastAsia"/>
                <w:sz w:val="18"/>
                <w:szCs w:val="21"/>
              </w:rPr>
              <w:t>247960027.90</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b/>
                <w:bCs/>
                <w:color w:val="000000"/>
                <w:kern w:val="0"/>
                <w:sz w:val="15"/>
                <w:szCs w:val="15"/>
              </w:rPr>
            </w:pPr>
            <w:r>
              <w:rPr>
                <w:rFonts w:hint="eastAsia"/>
                <w:sz w:val="18"/>
                <w:szCs w:val="21"/>
              </w:rPr>
              <w:t>247960027.90</w:t>
            </w:r>
          </w:p>
        </w:tc>
        <w:tc>
          <w:tcPr>
            <w:tcW w:w="1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sz w:val="18"/>
                <w:szCs w:val="21"/>
              </w:rPr>
            </w:pPr>
            <w:r>
              <w:rPr>
                <w:sz w:val="18"/>
                <w:szCs w:val="21"/>
              </w:rPr>
              <w:t>0.00</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color w:val="000000"/>
                <w:kern w:val="0"/>
                <w:sz w:val="15"/>
                <w:szCs w:val="15"/>
              </w:rPr>
            </w:pPr>
            <w:r>
              <w:rPr>
                <w:color w:val="000000"/>
                <w:kern w:val="0"/>
                <w:sz w:val="15"/>
                <w:szCs w:val="15"/>
              </w:rPr>
              <w:t>0.00</w:t>
            </w:r>
          </w:p>
        </w:tc>
      </w:tr>
      <w:tr>
        <w:tblPrEx>
          <w:tblCellMar>
            <w:top w:w="0" w:type="dxa"/>
            <w:left w:w="108" w:type="dxa"/>
            <w:bottom w:w="0" w:type="dxa"/>
            <w:right w:w="108" w:type="dxa"/>
          </w:tblCellMar>
        </w:tblPrEx>
        <w:trPr>
          <w:trHeight w:val="398" w:hRule="exact"/>
        </w:trPr>
        <w:tc>
          <w:tcPr>
            <w:tcW w:w="14820" w:type="dxa"/>
            <w:gridSpan w:val="10"/>
            <w:tcBorders>
              <w:top w:val="single" w:color="auto" w:sz="4" w:space="0"/>
              <w:left w:val="nil"/>
              <w:bottom w:val="single" w:color="auto" w:sz="4" w:space="0"/>
              <w:right w:val="nil"/>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注：本表反映部门本年度一般公共预算财政拨款、政府性基金预算财政拨款和国有资本经营预算财政拨款的总收支和年末结余结转情况，数据取自财决01-1表</w:t>
            </w:r>
          </w:p>
        </w:tc>
      </w:tr>
    </w:tbl>
    <w:p>
      <w:pPr>
        <w:widowControl/>
        <w:jc w:val="left"/>
        <w:rPr>
          <w:rFonts w:eastAsia="黑体"/>
          <w:b/>
          <w:bCs/>
          <w:color w:val="000000"/>
          <w:kern w:val="0"/>
          <w:sz w:val="40"/>
          <w:szCs w:val="40"/>
        </w:rPr>
      </w:pPr>
    </w:p>
    <w:tbl>
      <w:tblPr>
        <w:tblStyle w:val="9"/>
        <w:tblpPr w:leftFromText="180" w:rightFromText="180" w:vertAnchor="text" w:horzAnchor="margin" w:tblpY="573"/>
        <w:tblOverlap w:val="never"/>
        <w:tblW w:w="15185" w:type="dxa"/>
        <w:tblInd w:w="0" w:type="dxa"/>
        <w:tblLayout w:type="fixed"/>
        <w:tblCellMar>
          <w:top w:w="0" w:type="dxa"/>
          <w:left w:w="108" w:type="dxa"/>
          <w:bottom w:w="0" w:type="dxa"/>
          <w:right w:w="108" w:type="dxa"/>
        </w:tblCellMar>
      </w:tblPr>
      <w:tblGrid>
        <w:gridCol w:w="492"/>
        <w:gridCol w:w="492"/>
        <w:gridCol w:w="492"/>
        <w:gridCol w:w="4826"/>
        <w:gridCol w:w="2844"/>
        <w:gridCol w:w="3059"/>
        <w:gridCol w:w="2980"/>
      </w:tblGrid>
      <w:tr>
        <w:tblPrEx>
          <w:tblCellMar>
            <w:top w:w="0" w:type="dxa"/>
            <w:left w:w="108" w:type="dxa"/>
            <w:bottom w:w="0" w:type="dxa"/>
            <w:right w:w="108" w:type="dxa"/>
          </w:tblCellMar>
        </w:tblPrEx>
        <w:trPr>
          <w:trHeight w:val="305" w:hRule="atLeast"/>
        </w:trPr>
        <w:tc>
          <w:tcPr>
            <w:tcW w:w="15185" w:type="dxa"/>
            <w:gridSpan w:val="7"/>
            <w:tcBorders>
              <w:top w:val="nil"/>
              <w:left w:val="nil"/>
              <w:bottom w:val="nil"/>
              <w:right w:val="nil"/>
            </w:tcBorders>
            <w:vAlign w:val="bottom"/>
          </w:tcPr>
          <w:p>
            <w:pPr>
              <w:widowControl/>
              <w:jc w:val="center"/>
              <w:rPr>
                <w:color w:val="000000"/>
                <w:kern w:val="0"/>
                <w:sz w:val="44"/>
                <w:szCs w:val="44"/>
              </w:rPr>
            </w:pPr>
            <w:r>
              <w:rPr>
                <w:b/>
                <w:bCs/>
                <w:color w:val="000000"/>
                <w:kern w:val="0"/>
                <w:sz w:val="36"/>
                <w:szCs w:val="36"/>
              </w:rPr>
              <w:t>一般公共预算财政拨款收入支出决算表</w:t>
            </w:r>
          </w:p>
        </w:tc>
      </w:tr>
      <w:tr>
        <w:tblPrEx>
          <w:tblCellMar>
            <w:top w:w="0" w:type="dxa"/>
            <w:left w:w="108" w:type="dxa"/>
            <w:bottom w:w="0" w:type="dxa"/>
            <w:right w:w="108" w:type="dxa"/>
          </w:tblCellMar>
        </w:tblPrEx>
        <w:trPr>
          <w:trHeight w:val="305" w:hRule="atLeast"/>
        </w:trPr>
        <w:tc>
          <w:tcPr>
            <w:tcW w:w="15185" w:type="dxa"/>
            <w:gridSpan w:val="7"/>
            <w:tcBorders>
              <w:top w:val="nil"/>
              <w:left w:val="nil"/>
              <w:bottom w:val="nil"/>
              <w:right w:val="nil"/>
            </w:tcBorders>
            <w:vAlign w:val="bottom"/>
          </w:tcPr>
          <w:p>
            <w:pPr>
              <w:widowControl/>
              <w:jc w:val="right"/>
              <w:rPr>
                <w:color w:val="000000"/>
                <w:kern w:val="0"/>
                <w:sz w:val="24"/>
              </w:rPr>
            </w:pPr>
            <w:r>
              <w:rPr>
                <w:color w:val="000000"/>
                <w:kern w:val="0"/>
                <w:sz w:val="24"/>
              </w:rPr>
              <w:t>公开05表</w:t>
            </w:r>
          </w:p>
        </w:tc>
      </w:tr>
      <w:tr>
        <w:tblPrEx>
          <w:tblCellMar>
            <w:top w:w="0" w:type="dxa"/>
            <w:left w:w="108" w:type="dxa"/>
            <w:bottom w:w="0" w:type="dxa"/>
            <w:right w:w="108" w:type="dxa"/>
          </w:tblCellMar>
        </w:tblPrEx>
        <w:trPr>
          <w:trHeight w:val="305" w:hRule="atLeast"/>
        </w:trPr>
        <w:tc>
          <w:tcPr>
            <w:tcW w:w="6302" w:type="dxa"/>
            <w:gridSpan w:val="4"/>
            <w:tcBorders>
              <w:top w:val="nil"/>
              <w:left w:val="nil"/>
              <w:bottom w:val="nil"/>
              <w:right w:val="nil"/>
            </w:tcBorders>
            <w:vAlign w:val="bottom"/>
          </w:tcPr>
          <w:p>
            <w:pPr>
              <w:widowControl/>
              <w:jc w:val="left"/>
              <w:rPr>
                <w:color w:val="000000"/>
                <w:kern w:val="0"/>
                <w:sz w:val="24"/>
              </w:rPr>
            </w:pPr>
            <w:r>
              <w:rPr>
                <w:color w:val="000000"/>
                <w:kern w:val="0"/>
                <w:sz w:val="24"/>
              </w:rPr>
              <w:t>公开部门：</w:t>
            </w:r>
          </w:p>
        </w:tc>
        <w:tc>
          <w:tcPr>
            <w:tcW w:w="2844" w:type="dxa"/>
            <w:tcBorders>
              <w:top w:val="nil"/>
              <w:left w:val="nil"/>
              <w:bottom w:val="nil"/>
              <w:right w:val="nil"/>
            </w:tcBorders>
            <w:vAlign w:val="bottom"/>
          </w:tcPr>
          <w:p>
            <w:pPr>
              <w:widowControl/>
              <w:jc w:val="left"/>
              <w:rPr>
                <w:color w:val="000000"/>
                <w:kern w:val="0"/>
                <w:sz w:val="20"/>
              </w:rPr>
            </w:pPr>
          </w:p>
        </w:tc>
        <w:tc>
          <w:tcPr>
            <w:tcW w:w="3059" w:type="dxa"/>
            <w:tcBorders>
              <w:top w:val="nil"/>
              <w:left w:val="nil"/>
              <w:bottom w:val="nil"/>
              <w:right w:val="nil"/>
            </w:tcBorders>
            <w:vAlign w:val="bottom"/>
          </w:tcPr>
          <w:p>
            <w:pPr>
              <w:widowControl/>
              <w:jc w:val="center"/>
              <w:rPr>
                <w:color w:val="000000"/>
                <w:kern w:val="0"/>
                <w:sz w:val="24"/>
              </w:rPr>
            </w:pPr>
          </w:p>
        </w:tc>
        <w:tc>
          <w:tcPr>
            <w:tcW w:w="2980" w:type="dxa"/>
            <w:tcBorders>
              <w:top w:val="nil"/>
              <w:left w:val="nil"/>
              <w:bottom w:val="nil"/>
              <w:right w:val="nil"/>
            </w:tcBorders>
            <w:vAlign w:val="bottom"/>
          </w:tcPr>
          <w:p>
            <w:pPr>
              <w:widowControl/>
              <w:jc w:val="right"/>
              <w:rPr>
                <w:color w:val="000000"/>
                <w:kern w:val="0"/>
                <w:sz w:val="24"/>
              </w:rPr>
            </w:pPr>
            <w:r>
              <w:rPr>
                <w:color w:val="000000"/>
                <w:kern w:val="0"/>
                <w:sz w:val="24"/>
              </w:rPr>
              <w:t>金额单位：元</w:t>
            </w:r>
          </w:p>
        </w:tc>
      </w:tr>
      <w:tr>
        <w:tblPrEx>
          <w:tblCellMar>
            <w:top w:w="0" w:type="dxa"/>
            <w:left w:w="108" w:type="dxa"/>
            <w:bottom w:w="0" w:type="dxa"/>
            <w:right w:w="108" w:type="dxa"/>
          </w:tblCellMar>
        </w:tblPrEx>
        <w:trPr>
          <w:trHeight w:val="305" w:hRule="atLeast"/>
        </w:trPr>
        <w:tc>
          <w:tcPr>
            <w:tcW w:w="6302"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color w:val="000000"/>
                <w:kern w:val="0"/>
                <w:sz w:val="22"/>
              </w:rPr>
            </w:pPr>
            <w:r>
              <w:rPr>
                <w:color w:val="000000"/>
                <w:kern w:val="0"/>
                <w:sz w:val="22"/>
              </w:rPr>
              <w:t>项目</w:t>
            </w:r>
          </w:p>
        </w:tc>
        <w:tc>
          <w:tcPr>
            <w:tcW w:w="2844" w:type="dxa"/>
            <w:vMerge w:val="restart"/>
            <w:tcBorders>
              <w:top w:val="single" w:color="000000" w:sz="8" w:space="0"/>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本年支出合计</w:t>
            </w:r>
          </w:p>
        </w:tc>
        <w:tc>
          <w:tcPr>
            <w:tcW w:w="3059" w:type="dxa"/>
            <w:vMerge w:val="restart"/>
            <w:tcBorders>
              <w:top w:val="single" w:color="000000" w:sz="8" w:space="0"/>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基本支出</w:t>
            </w:r>
          </w:p>
        </w:tc>
        <w:tc>
          <w:tcPr>
            <w:tcW w:w="2980" w:type="dxa"/>
            <w:vMerge w:val="restart"/>
            <w:tcBorders>
              <w:top w:val="single" w:color="000000" w:sz="8" w:space="0"/>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项目支出</w:t>
            </w:r>
          </w:p>
        </w:tc>
      </w:tr>
      <w:tr>
        <w:tblPrEx>
          <w:tblCellMar>
            <w:top w:w="0" w:type="dxa"/>
            <w:left w:w="108" w:type="dxa"/>
            <w:bottom w:w="0" w:type="dxa"/>
            <w:right w:w="108" w:type="dxa"/>
          </w:tblCellMar>
        </w:tblPrEx>
        <w:trPr>
          <w:trHeight w:val="335" w:hRule="atLeast"/>
        </w:trPr>
        <w:tc>
          <w:tcPr>
            <w:tcW w:w="1476"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color w:val="000000"/>
                <w:kern w:val="0"/>
                <w:sz w:val="22"/>
              </w:rPr>
            </w:pPr>
            <w:r>
              <w:rPr>
                <w:color w:val="000000"/>
                <w:kern w:val="0"/>
                <w:sz w:val="22"/>
              </w:rPr>
              <w:t>功能分类科目编码</w:t>
            </w:r>
          </w:p>
        </w:tc>
        <w:tc>
          <w:tcPr>
            <w:tcW w:w="4826" w:type="dxa"/>
            <w:vMerge w:val="restart"/>
            <w:tcBorders>
              <w:top w:val="nil"/>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科目名称</w:t>
            </w:r>
          </w:p>
        </w:tc>
        <w:tc>
          <w:tcPr>
            <w:tcW w:w="2844"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c>
          <w:tcPr>
            <w:tcW w:w="3059"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c>
          <w:tcPr>
            <w:tcW w:w="2980"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r>
      <w:tr>
        <w:tblPrEx>
          <w:tblCellMar>
            <w:top w:w="0" w:type="dxa"/>
            <w:left w:w="108" w:type="dxa"/>
            <w:bottom w:w="0" w:type="dxa"/>
            <w:right w:w="108" w:type="dxa"/>
          </w:tblCellMar>
        </w:tblPrEx>
        <w:trPr>
          <w:trHeight w:val="335" w:hRule="atLeast"/>
        </w:trPr>
        <w:tc>
          <w:tcPr>
            <w:tcW w:w="1476"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6" w:type="dxa"/>
            <w:vMerge w:val="continue"/>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4"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c>
          <w:tcPr>
            <w:tcW w:w="3059"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c>
          <w:tcPr>
            <w:tcW w:w="2980"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r>
      <w:tr>
        <w:tblPrEx>
          <w:tblCellMar>
            <w:top w:w="0" w:type="dxa"/>
            <w:left w:w="108" w:type="dxa"/>
            <w:bottom w:w="0" w:type="dxa"/>
            <w:right w:w="108" w:type="dxa"/>
          </w:tblCellMar>
        </w:tblPrEx>
        <w:trPr>
          <w:trHeight w:val="335" w:hRule="atLeast"/>
        </w:trPr>
        <w:tc>
          <w:tcPr>
            <w:tcW w:w="1476"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6" w:type="dxa"/>
            <w:vMerge w:val="continue"/>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4"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c>
          <w:tcPr>
            <w:tcW w:w="3059"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c>
          <w:tcPr>
            <w:tcW w:w="2980"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r>
      <w:tr>
        <w:tblPrEx>
          <w:tblCellMar>
            <w:top w:w="0" w:type="dxa"/>
            <w:left w:w="108" w:type="dxa"/>
            <w:bottom w:w="0" w:type="dxa"/>
            <w:right w:w="108" w:type="dxa"/>
          </w:tblCellMar>
        </w:tblPrEx>
        <w:trPr>
          <w:trHeight w:val="410" w:hRule="atLeast"/>
        </w:trPr>
        <w:tc>
          <w:tcPr>
            <w:tcW w:w="492" w:type="dxa"/>
            <w:vMerge w:val="restart"/>
            <w:tcBorders>
              <w:top w:val="nil"/>
              <w:left w:val="single" w:color="000000" w:sz="8" w:space="0"/>
              <w:bottom w:val="single" w:color="000000" w:sz="4" w:space="0"/>
              <w:right w:val="single" w:color="000000" w:sz="4" w:space="0"/>
            </w:tcBorders>
            <w:vAlign w:val="center"/>
          </w:tcPr>
          <w:p>
            <w:pPr>
              <w:widowControl/>
              <w:jc w:val="center"/>
              <w:rPr>
                <w:color w:val="000000"/>
                <w:kern w:val="0"/>
                <w:sz w:val="22"/>
              </w:rPr>
            </w:pPr>
            <w:r>
              <w:rPr>
                <w:color w:val="000000"/>
                <w:kern w:val="0"/>
                <w:sz w:val="22"/>
              </w:rPr>
              <w:t>类</w:t>
            </w:r>
          </w:p>
        </w:tc>
        <w:tc>
          <w:tcPr>
            <w:tcW w:w="492" w:type="dxa"/>
            <w:vMerge w:val="restart"/>
            <w:tcBorders>
              <w:top w:val="nil"/>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款</w:t>
            </w:r>
          </w:p>
        </w:tc>
        <w:tc>
          <w:tcPr>
            <w:tcW w:w="492" w:type="dxa"/>
            <w:vMerge w:val="restart"/>
            <w:tcBorders>
              <w:top w:val="nil"/>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项</w:t>
            </w:r>
          </w:p>
        </w:tc>
        <w:tc>
          <w:tcPr>
            <w:tcW w:w="4826" w:type="dxa"/>
            <w:tcBorders>
              <w:top w:val="nil"/>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栏次</w:t>
            </w:r>
          </w:p>
        </w:tc>
        <w:tc>
          <w:tcPr>
            <w:tcW w:w="2844" w:type="dxa"/>
            <w:tcBorders>
              <w:top w:val="nil"/>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1</w:t>
            </w:r>
          </w:p>
        </w:tc>
        <w:tc>
          <w:tcPr>
            <w:tcW w:w="3059" w:type="dxa"/>
            <w:tcBorders>
              <w:top w:val="nil"/>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2</w:t>
            </w:r>
          </w:p>
        </w:tc>
        <w:tc>
          <w:tcPr>
            <w:tcW w:w="2980" w:type="dxa"/>
            <w:tcBorders>
              <w:top w:val="nil"/>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3</w:t>
            </w:r>
          </w:p>
        </w:tc>
      </w:tr>
      <w:tr>
        <w:tblPrEx>
          <w:tblCellMar>
            <w:top w:w="0" w:type="dxa"/>
            <w:left w:w="108" w:type="dxa"/>
            <w:bottom w:w="0" w:type="dxa"/>
            <w:right w:w="108" w:type="dxa"/>
          </w:tblCellMar>
        </w:tblPrEx>
        <w:trPr>
          <w:trHeight w:val="305" w:hRule="atLeast"/>
        </w:trPr>
        <w:tc>
          <w:tcPr>
            <w:tcW w:w="492" w:type="dxa"/>
            <w:vMerge w:val="continue"/>
            <w:tcBorders>
              <w:top w:val="nil"/>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92" w:type="dxa"/>
            <w:vMerge w:val="continue"/>
            <w:tcBorders>
              <w:top w:val="nil"/>
              <w:left w:val="nil"/>
              <w:bottom w:val="single" w:color="000000" w:sz="4" w:space="0"/>
              <w:right w:val="single" w:color="000000" w:sz="4" w:space="0"/>
            </w:tcBorders>
            <w:vAlign w:val="center"/>
          </w:tcPr>
          <w:p>
            <w:pPr>
              <w:widowControl/>
              <w:jc w:val="left"/>
              <w:rPr>
                <w:color w:val="000000"/>
                <w:kern w:val="0"/>
                <w:sz w:val="22"/>
              </w:rPr>
            </w:pPr>
          </w:p>
        </w:tc>
        <w:tc>
          <w:tcPr>
            <w:tcW w:w="492" w:type="dxa"/>
            <w:vMerge w:val="continue"/>
            <w:tcBorders>
              <w:top w:val="nil"/>
              <w:left w:val="nil"/>
              <w:bottom w:val="single" w:color="000000" w:sz="4" w:space="0"/>
              <w:right w:val="single" w:color="000000" w:sz="4" w:space="0"/>
            </w:tcBorders>
            <w:vAlign w:val="center"/>
          </w:tcPr>
          <w:p>
            <w:pPr>
              <w:widowControl/>
              <w:jc w:val="left"/>
              <w:rPr>
                <w:color w:val="000000"/>
                <w:kern w:val="0"/>
                <w:sz w:val="22"/>
              </w:rPr>
            </w:pPr>
          </w:p>
        </w:tc>
        <w:tc>
          <w:tcPr>
            <w:tcW w:w="4826" w:type="dxa"/>
            <w:tcBorders>
              <w:top w:val="nil"/>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合计</w:t>
            </w:r>
          </w:p>
        </w:tc>
        <w:tc>
          <w:tcPr>
            <w:tcW w:w="2844" w:type="dxa"/>
            <w:tcBorders>
              <w:top w:val="nil"/>
              <w:left w:val="nil"/>
              <w:bottom w:val="single" w:color="000000" w:sz="4" w:space="0"/>
              <w:right w:val="single" w:color="000000" w:sz="4" w:space="0"/>
            </w:tcBorders>
            <w:vAlign w:val="center"/>
          </w:tcPr>
          <w:p>
            <w:pPr>
              <w:wordWrap w:val="0"/>
              <w:jc w:val="right"/>
              <w:rPr>
                <w:rFonts w:ascii="宋体" w:hAnsi="宋体" w:cs="Arial"/>
                <w:color w:val="000000"/>
                <w:sz w:val="22"/>
                <w:szCs w:val="22"/>
              </w:rPr>
            </w:pPr>
            <w:r>
              <w:rPr>
                <w:rFonts w:hint="eastAsia" w:cs="Arial"/>
                <w:color w:val="000000"/>
                <w:sz w:val="22"/>
                <w:szCs w:val="22"/>
              </w:rPr>
              <w:t>246790062.73</w:t>
            </w:r>
          </w:p>
        </w:tc>
        <w:tc>
          <w:tcPr>
            <w:tcW w:w="3059" w:type="dxa"/>
            <w:tcBorders>
              <w:top w:val="nil"/>
              <w:left w:val="nil"/>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16700660.61</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230089402.12</w:t>
            </w:r>
            <w:r>
              <w:rPr>
                <w:color w:val="000000"/>
                <w:kern w:val="0"/>
                <w:sz w:val="22"/>
              </w:rPr>
              <w:t xml:space="preserve"> 　</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201</w:t>
            </w:r>
          </w:p>
        </w:tc>
        <w:tc>
          <w:tcPr>
            <w:tcW w:w="4826" w:type="dxa"/>
            <w:tcBorders>
              <w:top w:val="nil"/>
              <w:left w:val="nil"/>
              <w:bottom w:val="single" w:color="000000" w:sz="4" w:space="0"/>
              <w:right w:val="single" w:color="000000" w:sz="4" w:space="0"/>
            </w:tcBorders>
            <w:vAlign w:val="center"/>
          </w:tcPr>
          <w:p>
            <w:pPr>
              <w:widowControl/>
              <w:jc w:val="left"/>
              <w:rPr>
                <w:color w:val="000000"/>
                <w:kern w:val="0"/>
                <w:sz w:val="22"/>
              </w:rPr>
            </w:pPr>
            <w:r>
              <w:rPr>
                <w:color w:val="000000"/>
                <w:kern w:val="0"/>
                <w:sz w:val="22"/>
              </w:rPr>
              <w:t>　</w:t>
            </w:r>
            <w:r>
              <w:rPr>
                <w:rFonts w:hint="eastAsia"/>
                <w:color w:val="000000"/>
                <w:kern w:val="0"/>
                <w:sz w:val="22"/>
              </w:rPr>
              <w:t>一般公共服务支出</w:t>
            </w:r>
          </w:p>
        </w:tc>
        <w:tc>
          <w:tcPr>
            <w:tcW w:w="2844" w:type="dxa"/>
            <w:tcBorders>
              <w:top w:val="nil"/>
              <w:left w:val="nil"/>
              <w:bottom w:val="single" w:color="000000" w:sz="4" w:space="0"/>
              <w:right w:val="single" w:color="000000" w:sz="4" w:space="0"/>
            </w:tcBorders>
            <w:vAlign w:val="center"/>
          </w:tcPr>
          <w:p>
            <w:pPr>
              <w:jc w:val="right"/>
              <w:rPr>
                <w:color w:val="000000"/>
                <w:kern w:val="0"/>
                <w:sz w:val="22"/>
              </w:rPr>
            </w:pPr>
            <w:r>
              <w:rPr>
                <w:color w:val="000000"/>
                <w:kern w:val="0"/>
                <w:sz w:val="22"/>
              </w:rPr>
              <w:t>　</w:t>
            </w:r>
            <w:r>
              <w:rPr>
                <w:rFonts w:hint="eastAsia" w:cs="Arial"/>
                <w:color w:val="000000"/>
                <w:sz w:val="22"/>
                <w:szCs w:val="22"/>
              </w:rPr>
              <w:t>187553826.57</w:t>
            </w:r>
            <w:r>
              <w:rPr>
                <w:color w:val="000000"/>
                <w:kern w:val="0"/>
                <w:sz w:val="22"/>
              </w:rPr>
              <w:t>　　　　　　</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13102424.57</w:t>
            </w:r>
            <w:r>
              <w:rPr>
                <w:color w:val="000000"/>
                <w:kern w:val="0"/>
                <w:sz w:val="22"/>
              </w:rPr>
              <w:t>　</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174451402.00</w:t>
            </w:r>
            <w:r>
              <w:rPr>
                <w:color w:val="000000"/>
                <w:kern w:val="0"/>
                <w:sz w:val="22"/>
              </w:rPr>
              <w:t>　</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20102</w:t>
            </w:r>
          </w:p>
        </w:tc>
        <w:tc>
          <w:tcPr>
            <w:tcW w:w="4826"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政协事务</w:t>
            </w:r>
          </w:p>
        </w:tc>
        <w:tc>
          <w:tcPr>
            <w:tcW w:w="2844"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cs="Arial"/>
                <w:color w:val="000000"/>
                <w:sz w:val="22"/>
                <w:szCs w:val="22"/>
              </w:rPr>
              <w:t>　</w:t>
            </w:r>
            <w:r>
              <w:rPr>
                <w:rFonts w:hint="eastAsia" w:cs="Arial"/>
                <w:color w:val="000000"/>
                <w:sz w:val="22"/>
                <w:szCs w:val="22"/>
              </w:rPr>
              <w:t>625499.22</w:t>
            </w:r>
          </w:p>
        </w:tc>
        <w:tc>
          <w:tcPr>
            <w:tcW w:w="3059"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625499.22</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2010299</w:t>
            </w:r>
          </w:p>
        </w:tc>
        <w:tc>
          <w:tcPr>
            <w:tcW w:w="4826"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其他政协事务支出</w:t>
            </w:r>
          </w:p>
        </w:tc>
        <w:tc>
          <w:tcPr>
            <w:tcW w:w="2844"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625499.22</w:t>
            </w:r>
            <w:r>
              <w:rPr>
                <w:color w:val="000000"/>
                <w:kern w:val="0"/>
                <w:sz w:val="22"/>
              </w:rPr>
              <w:t>　</w:t>
            </w:r>
          </w:p>
        </w:tc>
        <w:tc>
          <w:tcPr>
            <w:tcW w:w="3059"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625499.22</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ascii="宋体" w:hAnsi="宋体" w:cs="Arial"/>
                <w:color w:val="000000"/>
                <w:kern w:val="0"/>
                <w:sz w:val="22"/>
                <w:szCs w:val="22"/>
              </w:rPr>
              <w:t>20103</w:t>
            </w:r>
            <w:r>
              <w:rPr>
                <w:color w:val="000000"/>
                <w:kern w:val="0"/>
                <w:sz w:val="22"/>
              </w:rPr>
              <w:tab/>
            </w:r>
          </w:p>
        </w:tc>
        <w:tc>
          <w:tcPr>
            <w:tcW w:w="4826" w:type="dxa"/>
            <w:tcBorders>
              <w:top w:val="nil"/>
              <w:left w:val="nil"/>
              <w:bottom w:val="single" w:color="000000" w:sz="4" w:space="0"/>
              <w:right w:val="single" w:color="000000" w:sz="4" w:space="0"/>
            </w:tcBorders>
            <w:vAlign w:val="center"/>
          </w:tcPr>
          <w:p>
            <w:pPr>
              <w:widowControl/>
              <w:jc w:val="left"/>
              <w:rPr>
                <w:color w:val="000000"/>
                <w:kern w:val="0"/>
                <w:sz w:val="22"/>
              </w:rPr>
            </w:pPr>
            <w:r>
              <w:rPr>
                <w:color w:val="000000"/>
                <w:kern w:val="0"/>
                <w:sz w:val="22"/>
              </w:rPr>
              <w:t>　</w:t>
            </w:r>
            <w:r>
              <w:rPr>
                <w:rFonts w:hint="eastAsia"/>
                <w:color w:val="000000"/>
                <w:kern w:val="0"/>
                <w:sz w:val="22"/>
              </w:rPr>
              <w:t>政府办公厅（室）及相关机构事务</w:t>
            </w:r>
          </w:p>
        </w:tc>
        <w:tc>
          <w:tcPr>
            <w:tcW w:w="2844"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rPr>
              <w:t>182533409.71</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13091017.17</w:t>
            </w:r>
            <w:r>
              <w:rPr>
                <w:color w:val="000000"/>
                <w:kern w:val="0"/>
                <w:sz w:val="22"/>
              </w:rPr>
              <w:t>　</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169442392.54</w:t>
            </w:r>
            <w:r>
              <w:rPr>
                <w:color w:val="000000"/>
                <w:kern w:val="0"/>
                <w:sz w:val="22"/>
              </w:rPr>
              <w:t>　</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ascii="宋体" w:hAnsi="宋体" w:cs="Arial"/>
                <w:color w:val="000000"/>
                <w:kern w:val="0"/>
                <w:sz w:val="22"/>
                <w:szCs w:val="22"/>
              </w:rPr>
              <w:t>2010301</w:t>
            </w:r>
          </w:p>
        </w:tc>
        <w:tc>
          <w:tcPr>
            <w:tcW w:w="4826"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ascii="宋体" w:hAnsi="宋体" w:cs="Arial"/>
                <w:color w:val="000000"/>
                <w:kern w:val="0"/>
                <w:sz w:val="22"/>
                <w:szCs w:val="22"/>
              </w:rPr>
              <w:t>行政运行</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olor w:val="000000"/>
                <w:kern w:val="0"/>
                <w:sz w:val="22"/>
              </w:rPr>
              <w:t>13091017.17</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13091017.17</w:t>
            </w:r>
            <w:r>
              <w:rPr>
                <w:color w:val="000000"/>
                <w:kern w:val="0"/>
                <w:sz w:val="22"/>
              </w:rPr>
              <w:t>　</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r>
              <w:rPr>
                <w:color w:val="000000"/>
                <w:kern w:val="0"/>
                <w:sz w:val="22"/>
              </w:rPr>
              <w:t>　</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ascii="宋体" w:hAnsi="宋体" w:cs="Arial"/>
                <w:color w:val="000000"/>
                <w:kern w:val="0"/>
                <w:sz w:val="22"/>
                <w:szCs w:val="22"/>
              </w:rPr>
              <w:t>2010302</w:t>
            </w:r>
          </w:p>
        </w:tc>
        <w:tc>
          <w:tcPr>
            <w:tcW w:w="4826"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ascii="宋体" w:hAnsi="宋体" w:cs="Arial"/>
                <w:color w:val="000000"/>
                <w:kern w:val="0"/>
                <w:sz w:val="22"/>
                <w:szCs w:val="22"/>
              </w:rPr>
              <w:t xml:space="preserve">  一般行政管理事务</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1722847.94</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1722847.94</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ascii="宋体" w:hAnsi="宋体" w:cs="Arial"/>
                <w:color w:val="000000"/>
                <w:kern w:val="0"/>
                <w:sz w:val="22"/>
                <w:szCs w:val="22"/>
              </w:rPr>
              <w:t>2010399</w:t>
            </w:r>
          </w:p>
        </w:tc>
        <w:tc>
          <w:tcPr>
            <w:tcW w:w="4826"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ascii="宋体" w:hAnsi="宋体" w:cs="Arial"/>
                <w:color w:val="000000"/>
                <w:kern w:val="0"/>
                <w:sz w:val="22"/>
                <w:szCs w:val="22"/>
              </w:rPr>
              <w:t>其他政府办公厅（室）及相关机构事务支出</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167719544.60</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167719544.60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20132</w:t>
            </w:r>
          </w:p>
        </w:tc>
        <w:tc>
          <w:tcPr>
            <w:tcW w:w="4826"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ascii="宋体" w:hAnsi="宋体" w:cs="Arial"/>
                <w:color w:val="000000"/>
                <w:kern w:val="0"/>
                <w:sz w:val="22"/>
                <w:szCs w:val="22"/>
              </w:rPr>
              <w:t>组织事务</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4044917.64</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11407.40</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4033510.24</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2013202</w:t>
            </w:r>
          </w:p>
        </w:tc>
        <w:tc>
          <w:tcPr>
            <w:tcW w:w="4826"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ascii="宋体" w:hAnsi="宋体" w:cs="Arial"/>
                <w:color w:val="000000"/>
                <w:kern w:val="0"/>
                <w:sz w:val="22"/>
                <w:szCs w:val="22"/>
              </w:rPr>
              <w:t xml:space="preserve">  一般行政管理事务</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2081198.60</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2081198.60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2013299</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其他组织事务支出</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1963719.04</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11407.40</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1952311.64</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20133</w:t>
            </w:r>
          </w:p>
        </w:tc>
        <w:tc>
          <w:tcPr>
            <w:tcW w:w="4826"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ascii="宋体" w:hAnsi="宋体" w:cs="Arial"/>
                <w:color w:val="000000"/>
                <w:kern w:val="0"/>
                <w:sz w:val="22"/>
                <w:szCs w:val="22"/>
              </w:rPr>
              <w:t>宣传事务</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300000.00</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300000.00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2013399</w:t>
            </w:r>
          </w:p>
        </w:tc>
        <w:tc>
          <w:tcPr>
            <w:tcW w:w="4826"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ascii="宋体" w:hAnsi="宋体" w:cs="Arial"/>
                <w:color w:val="000000"/>
                <w:kern w:val="0"/>
                <w:sz w:val="22"/>
                <w:szCs w:val="22"/>
              </w:rPr>
              <w:t xml:space="preserve">  其他宣传事务支出</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300000.00</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300000.00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cs="Arial"/>
                <w:color w:val="000000"/>
                <w:sz w:val="22"/>
                <w:szCs w:val="22"/>
              </w:rPr>
            </w:pPr>
            <w:r>
              <w:rPr>
                <w:rFonts w:hint="eastAsia" w:cs="Arial"/>
                <w:color w:val="000000"/>
                <w:sz w:val="22"/>
                <w:szCs w:val="22"/>
              </w:rPr>
              <w:t>20134</w:t>
            </w:r>
          </w:p>
        </w:tc>
        <w:tc>
          <w:tcPr>
            <w:tcW w:w="482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统战事务</w:t>
            </w:r>
          </w:p>
        </w:tc>
        <w:tc>
          <w:tcPr>
            <w:tcW w:w="2844"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50000.00</w:t>
            </w:r>
          </w:p>
        </w:tc>
        <w:tc>
          <w:tcPr>
            <w:tcW w:w="3059"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50000.00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cs="Arial"/>
                <w:color w:val="000000"/>
                <w:sz w:val="22"/>
                <w:szCs w:val="22"/>
              </w:rPr>
            </w:pPr>
            <w:r>
              <w:rPr>
                <w:rFonts w:hint="eastAsia" w:cs="Arial"/>
                <w:color w:val="000000"/>
                <w:sz w:val="22"/>
                <w:szCs w:val="22"/>
              </w:rPr>
              <w:t>2013402</w:t>
            </w:r>
          </w:p>
        </w:tc>
        <w:tc>
          <w:tcPr>
            <w:tcW w:w="482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一般行政管理事务</w:t>
            </w:r>
          </w:p>
        </w:tc>
        <w:tc>
          <w:tcPr>
            <w:tcW w:w="2844"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50000.00</w:t>
            </w:r>
          </w:p>
        </w:tc>
        <w:tc>
          <w:tcPr>
            <w:tcW w:w="3059"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50000.00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208</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社会保障和就业支出</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2308273.35</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2294518.16</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13755.19</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20805</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行政事业单位养老支出</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2232891.35</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2219136.16</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13755.19</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cs="Arial"/>
                <w:color w:val="000000"/>
                <w:sz w:val="22"/>
                <w:szCs w:val="22"/>
              </w:rPr>
            </w:pPr>
            <w:r>
              <w:rPr>
                <w:rFonts w:hint="eastAsia" w:cs="Arial"/>
                <w:color w:val="000000"/>
                <w:sz w:val="22"/>
                <w:szCs w:val="22"/>
              </w:rPr>
              <w:t>2080501</w:t>
            </w:r>
          </w:p>
        </w:tc>
        <w:tc>
          <w:tcPr>
            <w:tcW w:w="4826" w:type="dxa"/>
            <w:tcBorders>
              <w:top w:val="nil"/>
              <w:left w:val="nil"/>
              <w:bottom w:val="single" w:color="000000" w:sz="4" w:space="0"/>
              <w:right w:val="single" w:color="000000" w:sz="4" w:space="0"/>
            </w:tcBorders>
            <w:vAlign w:val="center"/>
          </w:tcPr>
          <w:p>
            <w:pPr>
              <w:jc w:val="left"/>
              <w:rPr>
                <w:rFonts w:cs="Arial"/>
                <w:color w:val="000000"/>
                <w:sz w:val="22"/>
                <w:szCs w:val="22"/>
              </w:rPr>
            </w:pPr>
            <w:r>
              <w:rPr>
                <w:rFonts w:hint="eastAsia" w:cs="Arial"/>
                <w:color w:val="000000"/>
                <w:sz w:val="22"/>
                <w:szCs w:val="22"/>
              </w:rPr>
              <w:t>行政单位离退休</w:t>
            </w:r>
          </w:p>
        </w:tc>
        <w:tc>
          <w:tcPr>
            <w:tcW w:w="2844"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254345.00</w:t>
            </w:r>
          </w:p>
        </w:tc>
        <w:tc>
          <w:tcPr>
            <w:tcW w:w="3059"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254345.00</w:t>
            </w:r>
          </w:p>
        </w:tc>
        <w:tc>
          <w:tcPr>
            <w:tcW w:w="2980"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2080502</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事业单位离退休</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13755.19</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13755.19</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2080505</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机关事业单位基本养老保险缴费支出</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908169.65</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908169.65</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2080506</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机关事业单位职业年金缴费支出</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1056621.51</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1056621.51</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20808</w:t>
            </w:r>
          </w:p>
        </w:tc>
        <w:tc>
          <w:tcPr>
            <w:tcW w:w="4826" w:type="dxa"/>
            <w:tcBorders>
              <w:top w:val="nil"/>
              <w:left w:val="nil"/>
              <w:bottom w:val="single" w:color="000000" w:sz="4" w:space="0"/>
              <w:right w:val="single" w:color="000000" w:sz="4" w:space="0"/>
            </w:tcBorders>
            <w:vAlign w:val="center"/>
          </w:tcPr>
          <w:p>
            <w:pPr>
              <w:jc w:val="left"/>
              <w:rPr>
                <w:rFonts w:cs="Arial"/>
                <w:color w:val="000000"/>
                <w:sz w:val="22"/>
                <w:szCs w:val="22"/>
              </w:rPr>
            </w:pPr>
            <w:r>
              <w:rPr>
                <w:rFonts w:hint="eastAsia" w:cs="Arial"/>
                <w:color w:val="000000"/>
                <w:sz w:val="22"/>
                <w:szCs w:val="22"/>
              </w:rPr>
              <w:t>抚恤</w:t>
            </w:r>
          </w:p>
        </w:tc>
        <w:tc>
          <w:tcPr>
            <w:tcW w:w="2844"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75382.00</w:t>
            </w:r>
          </w:p>
        </w:tc>
        <w:tc>
          <w:tcPr>
            <w:tcW w:w="3059"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75382.00</w:t>
            </w:r>
          </w:p>
        </w:tc>
        <w:tc>
          <w:tcPr>
            <w:tcW w:w="2980" w:type="dxa"/>
            <w:tcBorders>
              <w:top w:val="nil"/>
              <w:left w:val="nil"/>
              <w:bottom w:val="single" w:color="000000" w:sz="4" w:space="0"/>
              <w:right w:val="single" w:color="000000" w:sz="4" w:space="0"/>
            </w:tcBorders>
            <w:vAlign w:val="center"/>
          </w:tcPr>
          <w:p>
            <w:pPr>
              <w:jc w:val="right"/>
              <w:rPr>
                <w:rFonts w:cs="Arial"/>
                <w:color w:val="000000"/>
                <w:sz w:val="22"/>
                <w:szCs w:val="22"/>
              </w:rPr>
            </w:pP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2080801</w:t>
            </w:r>
          </w:p>
        </w:tc>
        <w:tc>
          <w:tcPr>
            <w:tcW w:w="4826" w:type="dxa"/>
            <w:tcBorders>
              <w:top w:val="nil"/>
              <w:left w:val="nil"/>
              <w:bottom w:val="single" w:color="000000" w:sz="4" w:space="0"/>
              <w:right w:val="single" w:color="000000" w:sz="4" w:space="0"/>
            </w:tcBorders>
            <w:vAlign w:val="center"/>
          </w:tcPr>
          <w:p>
            <w:pPr>
              <w:jc w:val="left"/>
              <w:rPr>
                <w:rFonts w:cs="Arial"/>
                <w:color w:val="000000"/>
                <w:sz w:val="22"/>
                <w:szCs w:val="22"/>
              </w:rPr>
            </w:pPr>
            <w:r>
              <w:rPr>
                <w:rFonts w:hint="eastAsia" w:cs="Arial"/>
                <w:color w:val="000000"/>
                <w:sz w:val="22"/>
                <w:szCs w:val="22"/>
              </w:rPr>
              <w:t>死亡抚恤</w:t>
            </w:r>
          </w:p>
        </w:tc>
        <w:tc>
          <w:tcPr>
            <w:tcW w:w="2844"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75382.00</w:t>
            </w:r>
          </w:p>
        </w:tc>
        <w:tc>
          <w:tcPr>
            <w:tcW w:w="3059"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75382.00</w:t>
            </w:r>
          </w:p>
        </w:tc>
        <w:tc>
          <w:tcPr>
            <w:tcW w:w="2980" w:type="dxa"/>
            <w:tcBorders>
              <w:top w:val="nil"/>
              <w:left w:val="nil"/>
              <w:bottom w:val="single" w:color="000000" w:sz="4" w:space="0"/>
              <w:right w:val="single" w:color="000000" w:sz="4" w:space="0"/>
            </w:tcBorders>
            <w:vAlign w:val="center"/>
          </w:tcPr>
          <w:p>
            <w:pPr>
              <w:jc w:val="right"/>
              <w:rPr>
                <w:rFonts w:cs="Arial"/>
                <w:color w:val="000000"/>
                <w:sz w:val="22"/>
                <w:szCs w:val="22"/>
              </w:rPr>
            </w:pP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210</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卫生健康支出</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1608434.10</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422047.18</w:t>
            </w:r>
          </w:p>
        </w:tc>
        <w:tc>
          <w:tcPr>
            <w:tcW w:w="2980"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olor w:val="000000"/>
                <w:kern w:val="0"/>
                <w:sz w:val="22"/>
              </w:rPr>
              <w:t>1186386.92</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cs="Arial"/>
                <w:color w:val="000000"/>
                <w:sz w:val="22"/>
                <w:szCs w:val="22"/>
              </w:rPr>
            </w:pPr>
            <w:r>
              <w:rPr>
                <w:rFonts w:hint="eastAsia" w:cs="Arial"/>
                <w:color w:val="000000"/>
                <w:sz w:val="22"/>
                <w:szCs w:val="22"/>
              </w:rPr>
              <w:t>21003</w:t>
            </w:r>
          </w:p>
        </w:tc>
        <w:tc>
          <w:tcPr>
            <w:tcW w:w="4826" w:type="dxa"/>
            <w:tcBorders>
              <w:top w:val="nil"/>
              <w:left w:val="nil"/>
              <w:bottom w:val="single" w:color="000000" w:sz="4" w:space="0"/>
              <w:right w:val="single" w:color="000000" w:sz="4" w:space="0"/>
            </w:tcBorders>
            <w:vAlign w:val="center"/>
          </w:tcPr>
          <w:p>
            <w:pPr>
              <w:jc w:val="left"/>
              <w:rPr>
                <w:rFonts w:cs="Arial"/>
                <w:color w:val="000000"/>
                <w:sz w:val="22"/>
                <w:szCs w:val="22"/>
              </w:rPr>
            </w:pPr>
            <w:r>
              <w:rPr>
                <w:rFonts w:hint="eastAsia" w:cs="Arial"/>
                <w:color w:val="000000"/>
                <w:sz w:val="22"/>
                <w:szCs w:val="22"/>
              </w:rPr>
              <w:t>基层医疗卫生机构</w:t>
            </w:r>
          </w:p>
        </w:tc>
        <w:tc>
          <w:tcPr>
            <w:tcW w:w="2844"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1048.05</w:t>
            </w:r>
          </w:p>
        </w:tc>
        <w:tc>
          <w:tcPr>
            <w:tcW w:w="3059"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1048.05</w:t>
            </w:r>
          </w:p>
        </w:tc>
        <w:tc>
          <w:tcPr>
            <w:tcW w:w="2980" w:type="dxa"/>
            <w:tcBorders>
              <w:top w:val="nil"/>
              <w:left w:val="nil"/>
              <w:bottom w:val="single" w:color="000000" w:sz="4" w:space="0"/>
              <w:right w:val="single" w:color="000000" w:sz="4" w:space="0"/>
            </w:tcBorders>
            <w:vAlign w:val="center"/>
          </w:tcPr>
          <w:p>
            <w:pPr>
              <w:rPr>
                <w:rFonts w:cs="Arial"/>
                <w:color w:val="000000"/>
                <w:sz w:val="22"/>
                <w:szCs w:val="22"/>
              </w:rPr>
            </w:pPr>
            <w:r>
              <w:rPr>
                <w:rFonts w:hint="eastAsia" w:cs="Arial"/>
                <w:color w:val="000000"/>
                <w:sz w:val="22"/>
                <w:szCs w:val="22"/>
              </w:rPr>
              <w:t xml:space="preserve">                     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cs="Arial"/>
                <w:color w:val="000000"/>
                <w:sz w:val="22"/>
                <w:szCs w:val="22"/>
              </w:rPr>
            </w:pPr>
            <w:r>
              <w:rPr>
                <w:rFonts w:hint="eastAsia" w:cs="Arial"/>
                <w:color w:val="000000"/>
                <w:sz w:val="22"/>
                <w:szCs w:val="22"/>
              </w:rPr>
              <w:t>2100301</w:t>
            </w:r>
          </w:p>
        </w:tc>
        <w:tc>
          <w:tcPr>
            <w:tcW w:w="4826" w:type="dxa"/>
            <w:tcBorders>
              <w:top w:val="nil"/>
              <w:left w:val="nil"/>
              <w:bottom w:val="single" w:color="000000" w:sz="4" w:space="0"/>
              <w:right w:val="single" w:color="000000" w:sz="4" w:space="0"/>
            </w:tcBorders>
            <w:vAlign w:val="center"/>
          </w:tcPr>
          <w:p>
            <w:pPr>
              <w:jc w:val="left"/>
              <w:rPr>
                <w:rFonts w:cs="Arial"/>
                <w:color w:val="000000"/>
                <w:sz w:val="22"/>
                <w:szCs w:val="22"/>
              </w:rPr>
            </w:pPr>
            <w:r>
              <w:rPr>
                <w:rFonts w:hint="eastAsia" w:cs="Arial"/>
                <w:color w:val="000000"/>
                <w:sz w:val="22"/>
                <w:szCs w:val="22"/>
              </w:rPr>
              <w:t>城市社区卫生机构</w:t>
            </w:r>
          </w:p>
        </w:tc>
        <w:tc>
          <w:tcPr>
            <w:tcW w:w="2844"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1048.05</w:t>
            </w:r>
          </w:p>
        </w:tc>
        <w:tc>
          <w:tcPr>
            <w:tcW w:w="3059"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1048.05</w:t>
            </w:r>
          </w:p>
        </w:tc>
        <w:tc>
          <w:tcPr>
            <w:tcW w:w="2980"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21004</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公共卫生</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1186386.92</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1186386.92</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2100410</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突发公共卫生事件应急处理</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1186386.92</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1186386.92</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21011</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行政事业单位医疗</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420999.13</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420999.13</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2101101</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行政单位医疗</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359867.41</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359867.41</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2101103</w:t>
            </w:r>
          </w:p>
        </w:tc>
        <w:tc>
          <w:tcPr>
            <w:tcW w:w="4826" w:type="dxa"/>
            <w:tcBorders>
              <w:top w:val="nil"/>
              <w:left w:val="nil"/>
              <w:bottom w:val="single" w:color="000000" w:sz="4" w:space="0"/>
              <w:right w:val="single" w:color="000000" w:sz="4" w:space="0"/>
            </w:tcBorders>
            <w:vAlign w:val="center"/>
          </w:tcPr>
          <w:p>
            <w:pPr>
              <w:widowControl/>
              <w:jc w:val="left"/>
              <w:rPr>
                <w:color w:val="000000"/>
                <w:kern w:val="0"/>
                <w:sz w:val="22"/>
              </w:rPr>
            </w:pPr>
            <w:r>
              <w:rPr>
                <w:color w:val="000000"/>
                <w:kern w:val="0"/>
                <w:sz w:val="22"/>
              </w:rPr>
              <w:t>　</w:t>
            </w:r>
            <w:r>
              <w:rPr>
                <w:rFonts w:hint="eastAsia" w:cs="Arial"/>
                <w:color w:val="000000"/>
                <w:sz w:val="22"/>
                <w:szCs w:val="22"/>
              </w:rPr>
              <w:t xml:space="preserve"> 公务员医疗补助</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61131.72</w:t>
            </w:r>
            <w:r>
              <w:rPr>
                <w:color w:val="000000"/>
                <w:kern w:val="0"/>
                <w:sz w:val="22"/>
              </w:rPr>
              <w:t>　</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61131.72</w:t>
            </w:r>
            <w:r>
              <w:rPr>
                <w:color w:val="000000"/>
                <w:kern w:val="0"/>
                <w:sz w:val="22"/>
              </w:rPr>
              <w:t>　</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r>
              <w:rPr>
                <w:color w:val="000000"/>
                <w:kern w:val="0"/>
                <w:sz w:val="22"/>
              </w:rPr>
              <w:t>　</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211</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节能环保支出</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11363776.00</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11363776.00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21103</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污染防治</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5364000.00</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5364000.00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2110301</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大气</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4864000.00</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4864000.00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cs="Arial"/>
                <w:color w:val="000000"/>
                <w:sz w:val="22"/>
                <w:szCs w:val="22"/>
              </w:rPr>
            </w:pPr>
            <w:r>
              <w:rPr>
                <w:rFonts w:hint="eastAsia" w:cs="Arial"/>
                <w:color w:val="000000"/>
                <w:sz w:val="22"/>
                <w:szCs w:val="22"/>
              </w:rPr>
              <w:t>2110399</w:t>
            </w:r>
          </w:p>
        </w:tc>
        <w:tc>
          <w:tcPr>
            <w:tcW w:w="4826" w:type="dxa"/>
            <w:tcBorders>
              <w:top w:val="nil"/>
              <w:left w:val="nil"/>
              <w:bottom w:val="single" w:color="000000" w:sz="4" w:space="0"/>
              <w:right w:val="single" w:color="000000" w:sz="4" w:space="0"/>
            </w:tcBorders>
            <w:vAlign w:val="center"/>
          </w:tcPr>
          <w:p>
            <w:pPr>
              <w:jc w:val="left"/>
              <w:rPr>
                <w:rFonts w:cs="Arial"/>
                <w:color w:val="000000"/>
                <w:sz w:val="22"/>
                <w:szCs w:val="22"/>
              </w:rPr>
            </w:pPr>
            <w:r>
              <w:rPr>
                <w:rFonts w:hint="eastAsia" w:cs="Arial"/>
                <w:color w:val="000000"/>
                <w:sz w:val="22"/>
                <w:szCs w:val="22"/>
              </w:rPr>
              <w:t>其他污染防治支出</w:t>
            </w:r>
          </w:p>
        </w:tc>
        <w:tc>
          <w:tcPr>
            <w:tcW w:w="2844"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500000.00</w:t>
            </w:r>
          </w:p>
        </w:tc>
        <w:tc>
          <w:tcPr>
            <w:tcW w:w="3059"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500000.00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21104</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自然生态保护</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5999776.00</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5999776.00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2110402</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农村环境保护</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5999776.00</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5999776.00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212</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城乡社区支出</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895734.00</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895734.00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21201</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城乡社区管理事务</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60000.00</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60000.00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2120102</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一般行政管理事务</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60000.00</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60000.00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21203</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城乡社区公共设施</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135734.00</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135734.00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2120399</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其他城乡社区公共设施支出</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135734.00</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135734.00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21205</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城乡社区环境卫生</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700000.00</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700000.00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2120501</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城乡社区环境卫生</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700000.00</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700000.00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213</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农林水支出</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42178348.01</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42178348.01</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21301</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农业农村</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2149760.00</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2149760.00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2130122</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农业生产发展</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1099760.00</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1099760.00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cs="Arial"/>
                <w:color w:val="000000"/>
                <w:sz w:val="22"/>
                <w:szCs w:val="22"/>
              </w:rPr>
            </w:pPr>
            <w:r>
              <w:rPr>
                <w:rFonts w:hint="eastAsia" w:cs="Arial"/>
                <w:color w:val="000000"/>
                <w:sz w:val="22"/>
                <w:szCs w:val="22"/>
              </w:rPr>
              <w:t>2130126</w:t>
            </w:r>
          </w:p>
        </w:tc>
        <w:tc>
          <w:tcPr>
            <w:tcW w:w="4826" w:type="dxa"/>
            <w:tcBorders>
              <w:top w:val="nil"/>
              <w:left w:val="nil"/>
              <w:bottom w:val="single" w:color="000000" w:sz="4" w:space="0"/>
              <w:right w:val="single" w:color="000000" w:sz="4" w:space="0"/>
            </w:tcBorders>
            <w:vAlign w:val="center"/>
          </w:tcPr>
          <w:p>
            <w:pPr>
              <w:jc w:val="left"/>
              <w:rPr>
                <w:rFonts w:cs="Arial"/>
                <w:color w:val="000000"/>
                <w:sz w:val="22"/>
                <w:szCs w:val="22"/>
              </w:rPr>
            </w:pPr>
            <w:r>
              <w:rPr>
                <w:rFonts w:hint="eastAsia" w:cs="Arial"/>
                <w:color w:val="000000"/>
                <w:sz w:val="22"/>
                <w:szCs w:val="22"/>
              </w:rPr>
              <w:t>农村社会事业</w:t>
            </w:r>
          </w:p>
        </w:tc>
        <w:tc>
          <w:tcPr>
            <w:tcW w:w="2844"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1050000.00</w:t>
            </w:r>
          </w:p>
        </w:tc>
        <w:tc>
          <w:tcPr>
            <w:tcW w:w="3059"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1050000.00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2130199</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其他农业农村支出</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color w:val="000000"/>
                <w:kern w:val="0"/>
                <w:sz w:val="22"/>
              </w:rPr>
            </w:pPr>
            <w:r>
              <w:rPr>
                <w:rFonts w:hint="eastAsia" w:cs="Arial"/>
                <w:color w:val="000000"/>
                <w:sz w:val="22"/>
                <w:szCs w:val="22"/>
              </w:rPr>
              <w:t>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21305</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ascii="宋体" w:hAnsi="宋体" w:cs="Arial"/>
                <w:color w:val="000000"/>
                <w:sz w:val="22"/>
                <w:szCs w:val="22"/>
              </w:rPr>
              <w:t>巩固脱贫衔接乡村振兴</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29529344.28</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29529344.28</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cs="Arial"/>
                <w:color w:val="000000"/>
                <w:sz w:val="22"/>
                <w:szCs w:val="22"/>
              </w:rPr>
            </w:pPr>
            <w:r>
              <w:rPr>
                <w:rFonts w:hint="eastAsia" w:cs="Arial"/>
                <w:color w:val="000000"/>
                <w:sz w:val="22"/>
                <w:szCs w:val="22"/>
              </w:rPr>
              <w:t>2130505</w:t>
            </w:r>
          </w:p>
        </w:tc>
        <w:tc>
          <w:tcPr>
            <w:tcW w:w="4826" w:type="dxa"/>
            <w:tcBorders>
              <w:top w:val="nil"/>
              <w:left w:val="nil"/>
              <w:bottom w:val="single" w:color="000000" w:sz="4" w:space="0"/>
              <w:right w:val="single" w:color="000000" w:sz="4" w:space="0"/>
            </w:tcBorders>
            <w:vAlign w:val="center"/>
          </w:tcPr>
          <w:p>
            <w:pPr>
              <w:jc w:val="left"/>
              <w:rPr>
                <w:rFonts w:cs="Arial"/>
                <w:color w:val="000000"/>
                <w:sz w:val="22"/>
                <w:szCs w:val="22"/>
              </w:rPr>
            </w:pPr>
            <w:r>
              <w:rPr>
                <w:rFonts w:hint="eastAsia" w:cs="Arial"/>
                <w:color w:val="000000"/>
                <w:sz w:val="22"/>
                <w:szCs w:val="22"/>
              </w:rPr>
              <w:t>生产发展</w:t>
            </w:r>
          </w:p>
        </w:tc>
        <w:tc>
          <w:tcPr>
            <w:tcW w:w="2844"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27915644.28</w:t>
            </w:r>
          </w:p>
        </w:tc>
        <w:tc>
          <w:tcPr>
            <w:tcW w:w="3059"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cs="Arial"/>
                <w:color w:val="000000"/>
                <w:sz w:val="22"/>
                <w:szCs w:val="22"/>
              </w:rPr>
            </w:pPr>
            <w:r>
              <w:rPr>
                <w:rFonts w:hint="eastAsia" w:cs="Arial"/>
                <w:color w:val="000000"/>
                <w:sz w:val="22"/>
                <w:szCs w:val="22"/>
              </w:rPr>
              <w:t>27915644.28</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2130599</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其他</w:t>
            </w:r>
            <w:r>
              <w:rPr>
                <w:rFonts w:hint="eastAsia" w:ascii="宋体" w:hAnsi="宋体" w:cs="Arial"/>
                <w:color w:val="000000"/>
                <w:sz w:val="22"/>
                <w:szCs w:val="22"/>
              </w:rPr>
              <w:t>巩固脱贫衔接乡村振兴支出</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1613700.00</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1613700.00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21307</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农村综合改革</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10499243.73</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10499243.73</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2130701</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对村级公益事业建设的补助</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6779243.73</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6779243.73</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2130705</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对村民委员会和村党支部的补助</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2120000.00</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2120000.00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2130706</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对村集体经济组织的补助</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1600000.00</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980"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1600000.00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221</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住房保障支出</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881670.70</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881670.70</w:t>
            </w:r>
          </w:p>
        </w:tc>
        <w:tc>
          <w:tcPr>
            <w:tcW w:w="2980"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s="Arial"/>
                <w:color w:val="000000"/>
                <w:sz w:val="22"/>
                <w:szCs w:val="22"/>
              </w:rPr>
              <w:t>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22102</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住房改革支出</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771670.70</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771670.70</w:t>
            </w:r>
          </w:p>
        </w:tc>
        <w:tc>
          <w:tcPr>
            <w:tcW w:w="2980"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s="Arial"/>
                <w:color w:val="000000"/>
                <w:sz w:val="22"/>
                <w:szCs w:val="22"/>
              </w:rPr>
              <w:t>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s="Arial"/>
                <w:color w:val="000000"/>
                <w:sz w:val="22"/>
                <w:szCs w:val="22"/>
              </w:rPr>
              <w:t>2210201</w:t>
            </w:r>
          </w:p>
        </w:tc>
        <w:tc>
          <w:tcPr>
            <w:tcW w:w="4826" w:type="dxa"/>
            <w:tcBorders>
              <w:top w:val="nil"/>
              <w:left w:val="nil"/>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 xml:space="preserve">  住房公积金</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764671.00</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764671.00</w:t>
            </w:r>
          </w:p>
        </w:tc>
        <w:tc>
          <w:tcPr>
            <w:tcW w:w="2980"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s="Arial"/>
                <w:color w:val="000000"/>
                <w:sz w:val="22"/>
                <w:szCs w:val="22"/>
              </w:rPr>
              <w:t>0.00</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jc w:val="left"/>
              <w:rPr>
                <w:rFonts w:ascii="宋体" w:hAnsi="宋体" w:cs="Arial"/>
                <w:color w:val="000000"/>
                <w:sz w:val="22"/>
                <w:szCs w:val="22"/>
              </w:rPr>
            </w:pPr>
            <w:r>
              <w:rPr>
                <w:rFonts w:hint="eastAsia" w:cs="Arial"/>
                <w:color w:val="000000"/>
                <w:sz w:val="22"/>
                <w:szCs w:val="22"/>
              </w:rPr>
              <w:t>2210203</w:t>
            </w:r>
          </w:p>
        </w:tc>
        <w:tc>
          <w:tcPr>
            <w:tcW w:w="4826" w:type="dxa"/>
            <w:tcBorders>
              <w:top w:val="nil"/>
              <w:left w:val="nil"/>
              <w:bottom w:val="single" w:color="000000" w:sz="4" w:space="0"/>
              <w:right w:val="single" w:color="000000" w:sz="4" w:space="0"/>
            </w:tcBorders>
            <w:vAlign w:val="center"/>
          </w:tcPr>
          <w:p>
            <w:pPr>
              <w:widowControl/>
              <w:jc w:val="left"/>
              <w:rPr>
                <w:color w:val="000000"/>
                <w:kern w:val="0"/>
                <w:sz w:val="22"/>
              </w:rPr>
            </w:pPr>
            <w:r>
              <w:rPr>
                <w:color w:val="000000"/>
                <w:kern w:val="0"/>
                <w:sz w:val="22"/>
              </w:rPr>
              <w:t>　</w:t>
            </w:r>
            <w:r>
              <w:rPr>
                <w:rFonts w:hint="eastAsia" w:cs="Arial"/>
                <w:color w:val="000000"/>
                <w:sz w:val="22"/>
                <w:szCs w:val="22"/>
              </w:rPr>
              <w:t xml:space="preserve"> 购房补贴</w:t>
            </w:r>
          </w:p>
        </w:tc>
        <w:tc>
          <w:tcPr>
            <w:tcW w:w="2844"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116999.70</w:t>
            </w:r>
            <w:r>
              <w:rPr>
                <w:color w:val="000000"/>
                <w:kern w:val="0"/>
                <w:sz w:val="22"/>
              </w:rPr>
              <w:t>　</w:t>
            </w:r>
          </w:p>
        </w:tc>
        <w:tc>
          <w:tcPr>
            <w:tcW w:w="3059" w:type="dxa"/>
            <w:tcBorders>
              <w:top w:val="nil"/>
              <w:left w:val="nil"/>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116999.70</w:t>
            </w:r>
            <w:r>
              <w:rPr>
                <w:color w:val="000000"/>
                <w:kern w:val="0"/>
                <w:sz w:val="22"/>
              </w:rPr>
              <w:t>　</w:t>
            </w:r>
          </w:p>
        </w:tc>
        <w:tc>
          <w:tcPr>
            <w:tcW w:w="2980"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s="Arial"/>
                <w:color w:val="000000"/>
                <w:sz w:val="22"/>
                <w:szCs w:val="22"/>
              </w:rPr>
              <w:t>0.00</w:t>
            </w:r>
            <w:r>
              <w:rPr>
                <w:color w:val="000000"/>
                <w:kern w:val="0"/>
                <w:sz w:val="22"/>
              </w:rPr>
              <w:t>　</w:t>
            </w:r>
          </w:p>
        </w:tc>
      </w:tr>
      <w:tr>
        <w:tblPrEx>
          <w:tblCellMar>
            <w:top w:w="0" w:type="dxa"/>
            <w:left w:w="108" w:type="dxa"/>
            <w:bottom w:w="0" w:type="dxa"/>
            <w:right w:w="108" w:type="dxa"/>
          </w:tblCellMar>
        </w:tblPrEx>
        <w:trPr>
          <w:trHeight w:val="305" w:hRule="atLeast"/>
        </w:trPr>
        <w:tc>
          <w:tcPr>
            <w:tcW w:w="15185" w:type="dxa"/>
            <w:gridSpan w:val="7"/>
            <w:tcBorders>
              <w:top w:val="single" w:color="000000" w:sz="8" w:space="0"/>
              <w:left w:val="nil"/>
              <w:bottom w:val="nil"/>
              <w:right w:val="nil"/>
            </w:tcBorders>
            <w:vAlign w:val="bottom"/>
          </w:tcPr>
          <w:p>
            <w:pPr>
              <w:widowControl/>
              <w:jc w:val="left"/>
              <w:rPr>
                <w:color w:val="000000"/>
                <w:kern w:val="0"/>
                <w:sz w:val="22"/>
              </w:rPr>
            </w:pPr>
            <w:r>
              <w:rPr>
                <w:rFonts w:hint="eastAsia"/>
                <w:color w:val="000000"/>
                <w:kern w:val="0"/>
                <w:sz w:val="22"/>
              </w:rPr>
              <w:t>注：本表反映部门本年度一般公共预算财政拨款实际支出情况，数据取自财决07表</w:t>
            </w:r>
          </w:p>
        </w:tc>
      </w:tr>
    </w:tbl>
    <w:p>
      <w:pPr>
        <w:widowControl/>
        <w:jc w:val="left"/>
        <w:rPr>
          <w:rFonts w:eastAsia="黑体"/>
          <w:b/>
          <w:bCs/>
          <w:color w:val="000000"/>
          <w:kern w:val="0"/>
          <w:sz w:val="40"/>
          <w:szCs w:val="40"/>
        </w:rPr>
      </w:pPr>
      <w:r>
        <w:rPr>
          <w:rFonts w:eastAsia="黑体"/>
          <w:b/>
          <w:bCs/>
          <w:color w:val="000000"/>
          <w:kern w:val="0"/>
          <w:sz w:val="40"/>
          <w:szCs w:val="40"/>
        </w:rPr>
        <w:br w:type="page"/>
      </w:r>
    </w:p>
    <w:tbl>
      <w:tblPr>
        <w:tblStyle w:val="9"/>
        <w:tblpPr w:leftFromText="180" w:rightFromText="180" w:vertAnchor="text" w:horzAnchor="page" w:tblpX="1280" w:tblpY="57"/>
        <w:tblOverlap w:val="never"/>
        <w:tblW w:w="14530" w:type="dxa"/>
        <w:tblInd w:w="0" w:type="dxa"/>
        <w:tblLayout w:type="fixed"/>
        <w:tblCellMar>
          <w:top w:w="15" w:type="dxa"/>
          <w:left w:w="15" w:type="dxa"/>
          <w:bottom w:w="15" w:type="dxa"/>
          <w:right w:w="15" w:type="dxa"/>
        </w:tblCellMar>
      </w:tblPr>
      <w:tblGrid>
        <w:gridCol w:w="599"/>
        <w:gridCol w:w="2546"/>
        <w:gridCol w:w="1601"/>
        <w:gridCol w:w="899"/>
        <w:gridCol w:w="1753"/>
        <w:gridCol w:w="1692"/>
        <w:gridCol w:w="549"/>
        <w:gridCol w:w="3237"/>
        <w:gridCol w:w="1654"/>
      </w:tblGrid>
      <w:tr>
        <w:tblPrEx>
          <w:tblCellMar>
            <w:top w:w="15" w:type="dxa"/>
            <w:left w:w="15" w:type="dxa"/>
            <w:bottom w:w="15" w:type="dxa"/>
            <w:right w:w="15" w:type="dxa"/>
          </w:tblCellMar>
        </w:tblPrEx>
        <w:trPr>
          <w:trHeight w:val="155" w:hRule="atLeast"/>
        </w:trPr>
        <w:tc>
          <w:tcPr>
            <w:tcW w:w="14530" w:type="dxa"/>
            <w:gridSpan w:val="9"/>
            <w:vAlign w:val="bottom"/>
          </w:tcPr>
          <w:p>
            <w:pPr>
              <w:widowControl/>
              <w:jc w:val="center"/>
              <w:textAlignment w:val="bottom"/>
              <w:rPr>
                <w:color w:val="000000"/>
                <w:kern w:val="0"/>
                <w:sz w:val="18"/>
                <w:szCs w:val="18"/>
              </w:rPr>
            </w:pPr>
            <w:r>
              <w:rPr>
                <w:b/>
                <w:bCs/>
                <w:color w:val="000000"/>
                <w:kern w:val="0"/>
                <w:sz w:val="24"/>
              </w:rPr>
              <w:t>一般公共预算财政拨款基本支出决算表</w:t>
            </w:r>
          </w:p>
        </w:tc>
      </w:tr>
      <w:tr>
        <w:tblPrEx>
          <w:tblCellMar>
            <w:top w:w="15" w:type="dxa"/>
            <w:left w:w="15" w:type="dxa"/>
            <w:bottom w:w="15" w:type="dxa"/>
            <w:right w:w="15" w:type="dxa"/>
          </w:tblCellMar>
        </w:tblPrEx>
        <w:trPr>
          <w:trHeight w:val="155" w:hRule="atLeast"/>
        </w:trPr>
        <w:tc>
          <w:tcPr>
            <w:tcW w:w="14530" w:type="dxa"/>
            <w:gridSpan w:val="9"/>
            <w:vAlign w:val="bottom"/>
          </w:tcPr>
          <w:p>
            <w:pPr>
              <w:widowControl/>
              <w:jc w:val="right"/>
              <w:textAlignment w:val="bottom"/>
              <w:rPr>
                <w:color w:val="000000"/>
                <w:sz w:val="18"/>
                <w:szCs w:val="18"/>
              </w:rPr>
            </w:pPr>
            <w:r>
              <w:rPr>
                <w:color w:val="000000"/>
                <w:kern w:val="0"/>
                <w:sz w:val="18"/>
                <w:szCs w:val="18"/>
              </w:rPr>
              <w:t>公开06表</w:t>
            </w:r>
          </w:p>
        </w:tc>
      </w:tr>
      <w:tr>
        <w:tblPrEx>
          <w:tblCellMar>
            <w:top w:w="15" w:type="dxa"/>
            <w:left w:w="15" w:type="dxa"/>
            <w:bottom w:w="15" w:type="dxa"/>
            <w:right w:w="15" w:type="dxa"/>
          </w:tblCellMar>
        </w:tblPrEx>
        <w:trPr>
          <w:trHeight w:val="97" w:hRule="atLeast"/>
        </w:trPr>
        <w:tc>
          <w:tcPr>
            <w:tcW w:w="599" w:type="dxa"/>
            <w:vAlign w:val="bottom"/>
          </w:tcPr>
          <w:p>
            <w:pPr>
              <w:widowControl/>
              <w:jc w:val="left"/>
              <w:textAlignment w:val="bottom"/>
              <w:rPr>
                <w:color w:val="000000"/>
                <w:sz w:val="20"/>
                <w:szCs w:val="20"/>
              </w:rPr>
            </w:pPr>
            <w:r>
              <w:rPr>
                <w:color w:val="000000"/>
                <w:kern w:val="0"/>
                <w:sz w:val="20"/>
                <w:szCs w:val="20"/>
              </w:rPr>
              <w:t>部门：</w:t>
            </w:r>
          </w:p>
        </w:tc>
        <w:tc>
          <w:tcPr>
            <w:tcW w:w="2546" w:type="dxa"/>
            <w:vAlign w:val="bottom"/>
          </w:tcPr>
          <w:p>
            <w:pPr>
              <w:rPr>
                <w:color w:val="000000"/>
                <w:sz w:val="20"/>
                <w:szCs w:val="20"/>
              </w:rPr>
            </w:pPr>
          </w:p>
        </w:tc>
        <w:tc>
          <w:tcPr>
            <w:tcW w:w="1601" w:type="dxa"/>
            <w:vAlign w:val="bottom"/>
          </w:tcPr>
          <w:p>
            <w:pPr>
              <w:rPr>
                <w:color w:val="000000"/>
                <w:sz w:val="20"/>
                <w:szCs w:val="20"/>
              </w:rPr>
            </w:pPr>
          </w:p>
        </w:tc>
        <w:tc>
          <w:tcPr>
            <w:tcW w:w="899" w:type="dxa"/>
            <w:vAlign w:val="bottom"/>
          </w:tcPr>
          <w:p>
            <w:pPr>
              <w:rPr>
                <w:color w:val="000000"/>
                <w:sz w:val="20"/>
                <w:szCs w:val="20"/>
              </w:rPr>
            </w:pPr>
          </w:p>
        </w:tc>
        <w:tc>
          <w:tcPr>
            <w:tcW w:w="1753" w:type="dxa"/>
            <w:vAlign w:val="bottom"/>
          </w:tcPr>
          <w:p>
            <w:pPr>
              <w:rPr>
                <w:color w:val="000000"/>
                <w:sz w:val="20"/>
                <w:szCs w:val="20"/>
              </w:rPr>
            </w:pPr>
          </w:p>
        </w:tc>
        <w:tc>
          <w:tcPr>
            <w:tcW w:w="1692" w:type="dxa"/>
            <w:vAlign w:val="bottom"/>
          </w:tcPr>
          <w:p>
            <w:pPr>
              <w:rPr>
                <w:color w:val="000000"/>
                <w:sz w:val="20"/>
                <w:szCs w:val="20"/>
              </w:rPr>
            </w:pPr>
          </w:p>
        </w:tc>
        <w:tc>
          <w:tcPr>
            <w:tcW w:w="549" w:type="dxa"/>
            <w:vAlign w:val="bottom"/>
          </w:tcPr>
          <w:p>
            <w:pPr>
              <w:rPr>
                <w:color w:val="000000"/>
                <w:sz w:val="20"/>
                <w:szCs w:val="20"/>
              </w:rPr>
            </w:pPr>
          </w:p>
        </w:tc>
        <w:tc>
          <w:tcPr>
            <w:tcW w:w="3237" w:type="dxa"/>
            <w:vAlign w:val="bottom"/>
          </w:tcPr>
          <w:p>
            <w:pPr>
              <w:rPr>
                <w:color w:val="000000"/>
                <w:sz w:val="20"/>
                <w:szCs w:val="20"/>
              </w:rPr>
            </w:pPr>
          </w:p>
        </w:tc>
        <w:tc>
          <w:tcPr>
            <w:tcW w:w="1654" w:type="dxa"/>
            <w:vAlign w:val="bottom"/>
          </w:tcPr>
          <w:p>
            <w:pPr>
              <w:widowControl/>
              <w:jc w:val="right"/>
              <w:textAlignment w:val="bottom"/>
              <w:rPr>
                <w:color w:val="000000"/>
                <w:sz w:val="18"/>
                <w:szCs w:val="18"/>
              </w:rPr>
            </w:pPr>
            <w:r>
              <w:rPr>
                <w:color w:val="000000"/>
                <w:kern w:val="0"/>
                <w:sz w:val="18"/>
                <w:szCs w:val="18"/>
              </w:rPr>
              <w:t>金额单位：元</w:t>
            </w:r>
          </w:p>
        </w:tc>
      </w:tr>
      <w:tr>
        <w:tblPrEx>
          <w:tblCellMar>
            <w:top w:w="15" w:type="dxa"/>
            <w:left w:w="15" w:type="dxa"/>
            <w:bottom w:w="15" w:type="dxa"/>
            <w:right w:w="15" w:type="dxa"/>
          </w:tblCellMar>
        </w:tblPrEx>
        <w:trPr>
          <w:trHeight w:val="473" w:hRule="atLeast"/>
        </w:trPr>
        <w:tc>
          <w:tcPr>
            <w:tcW w:w="474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color w:val="000000"/>
                <w:sz w:val="20"/>
                <w:szCs w:val="20"/>
              </w:rPr>
            </w:pPr>
            <w:r>
              <w:rPr>
                <w:rFonts w:hint="eastAsia"/>
                <w:color w:val="000000"/>
                <w:kern w:val="0"/>
                <w:sz w:val="20"/>
              </w:rPr>
              <w:t>人员经费</w:t>
            </w:r>
          </w:p>
        </w:tc>
        <w:tc>
          <w:tcPr>
            <w:tcW w:w="9784" w:type="dxa"/>
            <w:gridSpan w:val="6"/>
            <w:tcBorders>
              <w:top w:val="single" w:color="000000" w:sz="4" w:space="0"/>
              <w:bottom w:val="single" w:color="000000" w:sz="4" w:space="0"/>
              <w:right w:val="single" w:color="000000" w:sz="4" w:space="0"/>
            </w:tcBorders>
            <w:shd w:val="clear" w:color="auto" w:fill="C0C0C0"/>
            <w:vAlign w:val="center"/>
          </w:tcPr>
          <w:p>
            <w:pPr>
              <w:widowControl/>
              <w:jc w:val="center"/>
              <w:textAlignment w:val="center"/>
              <w:rPr>
                <w:color w:val="000000"/>
                <w:sz w:val="20"/>
                <w:szCs w:val="20"/>
              </w:rPr>
            </w:pPr>
            <w:r>
              <w:rPr>
                <w:rFonts w:hint="eastAsia"/>
                <w:color w:val="000000"/>
                <w:kern w:val="0"/>
                <w:sz w:val="20"/>
              </w:rPr>
              <w:t>公用经费</w:t>
            </w:r>
          </w:p>
        </w:tc>
      </w:tr>
      <w:tr>
        <w:tblPrEx>
          <w:tblCellMar>
            <w:top w:w="15" w:type="dxa"/>
            <w:left w:w="15" w:type="dxa"/>
            <w:bottom w:w="15" w:type="dxa"/>
            <w:right w:w="15" w:type="dxa"/>
          </w:tblCellMar>
        </w:tblPrEx>
        <w:trPr>
          <w:trHeight w:val="176" w:hRule="atLeast"/>
        </w:trPr>
        <w:tc>
          <w:tcPr>
            <w:tcW w:w="599" w:type="dxa"/>
            <w:tcBorders>
              <w:left w:val="single" w:color="000000" w:sz="4" w:space="0"/>
              <w:bottom w:val="single" w:color="000000" w:sz="4" w:space="0"/>
              <w:right w:val="single" w:color="000000" w:sz="4" w:space="0"/>
            </w:tcBorders>
            <w:shd w:val="clear" w:color="auto" w:fill="C0C0C0"/>
            <w:vAlign w:val="center"/>
          </w:tcPr>
          <w:p>
            <w:pPr>
              <w:widowControl/>
              <w:jc w:val="center"/>
              <w:textAlignment w:val="center"/>
              <w:rPr>
                <w:color w:val="000000"/>
                <w:sz w:val="20"/>
                <w:szCs w:val="16"/>
              </w:rPr>
            </w:pPr>
            <w:r>
              <w:rPr>
                <w:color w:val="000000"/>
                <w:kern w:val="0"/>
                <w:sz w:val="20"/>
              </w:rPr>
              <w:t>科目</w:t>
            </w:r>
          </w:p>
        </w:tc>
        <w:tc>
          <w:tcPr>
            <w:tcW w:w="2546" w:type="dxa"/>
            <w:tcBorders>
              <w:bottom w:val="single" w:color="000000" w:sz="4" w:space="0"/>
              <w:right w:val="single" w:color="000000" w:sz="4" w:space="0"/>
            </w:tcBorders>
            <w:shd w:val="clear" w:color="auto" w:fill="C0C0C0"/>
            <w:vAlign w:val="center"/>
          </w:tcPr>
          <w:p>
            <w:pPr>
              <w:widowControl/>
              <w:jc w:val="center"/>
              <w:textAlignment w:val="center"/>
              <w:rPr>
                <w:color w:val="000000"/>
                <w:sz w:val="20"/>
                <w:szCs w:val="16"/>
              </w:rPr>
            </w:pPr>
            <w:r>
              <w:rPr>
                <w:color w:val="000000"/>
                <w:kern w:val="0"/>
                <w:sz w:val="20"/>
              </w:rPr>
              <w:t>科目名称</w:t>
            </w:r>
          </w:p>
        </w:tc>
        <w:tc>
          <w:tcPr>
            <w:tcW w:w="1601" w:type="dxa"/>
            <w:tcBorders>
              <w:bottom w:val="single" w:color="000000" w:sz="4" w:space="0"/>
              <w:right w:val="single" w:color="000000" w:sz="4" w:space="0"/>
            </w:tcBorders>
            <w:shd w:val="clear" w:color="auto" w:fill="C0C0C0"/>
            <w:vAlign w:val="center"/>
          </w:tcPr>
          <w:p>
            <w:pPr>
              <w:widowControl/>
              <w:jc w:val="center"/>
              <w:textAlignment w:val="center"/>
              <w:rPr>
                <w:color w:val="000000"/>
                <w:sz w:val="20"/>
                <w:szCs w:val="16"/>
              </w:rPr>
            </w:pPr>
            <w:r>
              <w:rPr>
                <w:color w:val="000000"/>
                <w:kern w:val="0"/>
                <w:sz w:val="20"/>
              </w:rPr>
              <w:t>决算数</w:t>
            </w:r>
          </w:p>
        </w:tc>
        <w:tc>
          <w:tcPr>
            <w:tcW w:w="899" w:type="dxa"/>
            <w:tcBorders>
              <w:bottom w:val="single" w:color="000000" w:sz="4" w:space="0"/>
              <w:right w:val="single" w:color="000000" w:sz="4" w:space="0"/>
            </w:tcBorders>
            <w:shd w:val="clear" w:color="auto" w:fill="C0C0C0"/>
            <w:vAlign w:val="center"/>
          </w:tcPr>
          <w:p>
            <w:pPr>
              <w:widowControl/>
              <w:jc w:val="center"/>
              <w:textAlignment w:val="center"/>
              <w:rPr>
                <w:color w:val="000000"/>
                <w:sz w:val="20"/>
                <w:szCs w:val="16"/>
              </w:rPr>
            </w:pPr>
            <w:r>
              <w:rPr>
                <w:color w:val="000000"/>
                <w:kern w:val="0"/>
                <w:sz w:val="20"/>
              </w:rPr>
              <w:t>科目</w:t>
            </w:r>
          </w:p>
        </w:tc>
        <w:tc>
          <w:tcPr>
            <w:tcW w:w="1753" w:type="dxa"/>
            <w:tcBorders>
              <w:bottom w:val="single" w:color="000000" w:sz="4" w:space="0"/>
              <w:right w:val="single" w:color="000000" w:sz="4" w:space="0"/>
            </w:tcBorders>
            <w:shd w:val="clear" w:color="auto" w:fill="C0C0C0"/>
            <w:vAlign w:val="center"/>
          </w:tcPr>
          <w:p>
            <w:pPr>
              <w:widowControl/>
              <w:jc w:val="center"/>
              <w:textAlignment w:val="center"/>
              <w:rPr>
                <w:color w:val="000000"/>
                <w:sz w:val="20"/>
                <w:szCs w:val="16"/>
              </w:rPr>
            </w:pPr>
            <w:r>
              <w:rPr>
                <w:color w:val="000000"/>
                <w:kern w:val="0"/>
                <w:sz w:val="20"/>
              </w:rPr>
              <w:t>科目名称</w:t>
            </w:r>
          </w:p>
        </w:tc>
        <w:tc>
          <w:tcPr>
            <w:tcW w:w="1692" w:type="dxa"/>
            <w:tcBorders>
              <w:bottom w:val="single" w:color="000000" w:sz="4" w:space="0"/>
              <w:right w:val="single" w:color="000000" w:sz="4" w:space="0"/>
            </w:tcBorders>
            <w:shd w:val="clear" w:color="auto" w:fill="C0C0C0"/>
            <w:vAlign w:val="center"/>
          </w:tcPr>
          <w:p>
            <w:pPr>
              <w:widowControl/>
              <w:jc w:val="center"/>
              <w:textAlignment w:val="center"/>
              <w:rPr>
                <w:color w:val="000000"/>
                <w:sz w:val="20"/>
                <w:szCs w:val="16"/>
              </w:rPr>
            </w:pPr>
            <w:r>
              <w:rPr>
                <w:color w:val="000000"/>
                <w:kern w:val="0"/>
                <w:sz w:val="20"/>
              </w:rPr>
              <w:t>决算数</w:t>
            </w:r>
          </w:p>
        </w:tc>
        <w:tc>
          <w:tcPr>
            <w:tcW w:w="549" w:type="dxa"/>
            <w:tcBorders>
              <w:bottom w:val="single" w:color="000000" w:sz="4" w:space="0"/>
              <w:right w:val="single" w:color="000000" w:sz="4" w:space="0"/>
            </w:tcBorders>
            <w:shd w:val="clear" w:color="auto" w:fill="C0C0C0"/>
            <w:vAlign w:val="center"/>
          </w:tcPr>
          <w:p>
            <w:pPr>
              <w:widowControl/>
              <w:jc w:val="center"/>
              <w:textAlignment w:val="center"/>
              <w:rPr>
                <w:color w:val="000000"/>
                <w:sz w:val="20"/>
                <w:szCs w:val="16"/>
              </w:rPr>
            </w:pPr>
            <w:r>
              <w:rPr>
                <w:color w:val="000000"/>
                <w:kern w:val="0"/>
                <w:sz w:val="20"/>
              </w:rPr>
              <w:t>科目</w:t>
            </w:r>
          </w:p>
        </w:tc>
        <w:tc>
          <w:tcPr>
            <w:tcW w:w="3237" w:type="dxa"/>
            <w:tcBorders>
              <w:bottom w:val="single" w:color="000000" w:sz="4" w:space="0"/>
              <w:right w:val="single" w:color="000000" w:sz="4" w:space="0"/>
            </w:tcBorders>
            <w:shd w:val="clear" w:color="auto" w:fill="C0C0C0"/>
            <w:vAlign w:val="center"/>
          </w:tcPr>
          <w:p>
            <w:pPr>
              <w:widowControl/>
              <w:jc w:val="center"/>
              <w:textAlignment w:val="center"/>
              <w:rPr>
                <w:color w:val="000000"/>
                <w:sz w:val="20"/>
                <w:szCs w:val="16"/>
              </w:rPr>
            </w:pPr>
            <w:r>
              <w:rPr>
                <w:color w:val="000000"/>
                <w:kern w:val="0"/>
                <w:sz w:val="20"/>
              </w:rPr>
              <w:t>科目名称</w:t>
            </w:r>
          </w:p>
        </w:tc>
        <w:tc>
          <w:tcPr>
            <w:tcW w:w="1654" w:type="dxa"/>
            <w:tcBorders>
              <w:bottom w:val="single" w:color="000000" w:sz="4" w:space="0"/>
              <w:right w:val="single" w:color="000000" w:sz="4" w:space="0"/>
            </w:tcBorders>
            <w:shd w:val="clear" w:color="auto" w:fill="C0C0C0"/>
            <w:vAlign w:val="center"/>
          </w:tcPr>
          <w:p>
            <w:pPr>
              <w:widowControl/>
              <w:jc w:val="center"/>
              <w:textAlignment w:val="center"/>
              <w:rPr>
                <w:color w:val="000000"/>
                <w:sz w:val="20"/>
                <w:szCs w:val="16"/>
              </w:rPr>
            </w:pPr>
            <w:r>
              <w:rPr>
                <w:color w:val="000000"/>
                <w:kern w:val="0"/>
                <w:sz w:val="20"/>
              </w:rPr>
              <w:t>决算数</w:t>
            </w:r>
          </w:p>
        </w:tc>
      </w:tr>
      <w:tr>
        <w:tblPrEx>
          <w:tblCellMar>
            <w:top w:w="15" w:type="dxa"/>
            <w:left w:w="15" w:type="dxa"/>
            <w:bottom w:w="15" w:type="dxa"/>
            <w:right w:w="15" w:type="dxa"/>
          </w:tblCellMar>
        </w:tblPrEx>
        <w:trPr>
          <w:trHeight w:val="274" w:hRule="atLeas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301</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工资福利支出</w:t>
            </w:r>
          </w:p>
        </w:tc>
        <w:tc>
          <w:tcPr>
            <w:tcW w:w="1601" w:type="dxa"/>
            <w:tcBorders>
              <w:bottom w:val="single" w:color="000000" w:sz="4" w:space="0"/>
              <w:right w:val="single" w:color="000000" w:sz="4" w:space="0"/>
            </w:tcBorders>
            <w:shd w:val="clear" w:color="auto" w:fill="auto"/>
            <w:vAlign w:val="center"/>
          </w:tcPr>
          <w:p>
            <w:pPr>
              <w:spacing w:line="160" w:lineRule="exact"/>
              <w:jc w:val="right"/>
              <w:rPr>
                <w:color w:val="000000"/>
                <w:sz w:val="20"/>
                <w:szCs w:val="16"/>
              </w:rPr>
            </w:pPr>
            <w:r>
              <w:rPr>
                <w:rFonts w:hint="eastAsia"/>
                <w:color w:val="000000"/>
                <w:sz w:val="20"/>
                <w:szCs w:val="16"/>
              </w:rPr>
              <w:t>15003019.51</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302</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商品和服务支出</w:t>
            </w:r>
          </w:p>
        </w:tc>
        <w:tc>
          <w:tcPr>
            <w:tcW w:w="1692"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1044025.08</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307</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债务利息及费用支出</w:t>
            </w:r>
          </w:p>
        </w:tc>
        <w:tc>
          <w:tcPr>
            <w:tcW w:w="1654" w:type="dxa"/>
            <w:tcBorders>
              <w:bottom w:val="single" w:color="000000" w:sz="4" w:space="0"/>
              <w:right w:val="single" w:color="000000" w:sz="4" w:space="0"/>
            </w:tcBorders>
            <w:vAlign w:val="center"/>
          </w:tcPr>
          <w:p>
            <w:pPr>
              <w:spacing w:line="160" w:lineRule="exact"/>
              <w:jc w:val="right"/>
              <w:rPr>
                <w:color w:val="000000"/>
                <w:sz w:val="20"/>
                <w:szCs w:val="16"/>
              </w:rPr>
            </w:pPr>
            <w:r>
              <w:rPr>
                <w:rFonts w:hint="eastAsia" w:cs="Arial"/>
                <w:color w:val="000000"/>
                <w:sz w:val="22"/>
                <w:szCs w:val="22"/>
              </w:rPr>
              <w:t>0.00</w:t>
            </w:r>
          </w:p>
        </w:tc>
      </w:tr>
      <w:tr>
        <w:tblPrEx>
          <w:tblCellMar>
            <w:top w:w="15" w:type="dxa"/>
            <w:left w:w="15" w:type="dxa"/>
            <w:bottom w:w="15" w:type="dxa"/>
            <w:right w:w="15" w:type="dxa"/>
          </w:tblCellMar>
        </w:tblPrEx>
        <w:trPr>
          <w:trHeight w:val="274" w:hRule="atLeas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30101</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基本工资</w:t>
            </w:r>
          </w:p>
        </w:tc>
        <w:tc>
          <w:tcPr>
            <w:tcW w:w="1601"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1902587.00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30201</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办公费</w:t>
            </w:r>
          </w:p>
        </w:tc>
        <w:tc>
          <w:tcPr>
            <w:tcW w:w="1692"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43967.30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30701</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国内债务付息</w:t>
            </w:r>
          </w:p>
        </w:tc>
        <w:tc>
          <w:tcPr>
            <w:tcW w:w="1654" w:type="dxa"/>
            <w:tcBorders>
              <w:bottom w:val="single" w:color="000000" w:sz="4" w:space="0"/>
              <w:right w:val="single" w:color="000000" w:sz="4" w:space="0"/>
            </w:tcBorders>
            <w:vAlign w:val="center"/>
          </w:tcPr>
          <w:p>
            <w:pPr>
              <w:spacing w:line="160" w:lineRule="exact"/>
              <w:jc w:val="right"/>
              <w:rPr>
                <w:color w:val="000000"/>
                <w:sz w:val="20"/>
                <w:szCs w:val="16"/>
              </w:rPr>
            </w:pPr>
            <w:r>
              <w:rPr>
                <w:rFonts w:hint="eastAsia" w:cs="Arial"/>
                <w:color w:val="000000"/>
                <w:sz w:val="22"/>
                <w:szCs w:val="22"/>
              </w:rPr>
              <w:t>0.00</w:t>
            </w:r>
          </w:p>
        </w:tc>
      </w:tr>
      <w:tr>
        <w:tblPrEx>
          <w:tblCellMar>
            <w:top w:w="15" w:type="dxa"/>
            <w:left w:w="15" w:type="dxa"/>
            <w:bottom w:w="15" w:type="dxa"/>
            <w:right w:w="15" w:type="dxa"/>
          </w:tblCellMar>
        </w:tblPrEx>
        <w:trPr>
          <w:trHeight w:val="258" w:hRule="atLeas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30102</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津贴补贴</w:t>
            </w:r>
          </w:p>
        </w:tc>
        <w:tc>
          <w:tcPr>
            <w:tcW w:w="1601"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4202134.92</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30202</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印刷费</w:t>
            </w:r>
          </w:p>
        </w:tc>
        <w:tc>
          <w:tcPr>
            <w:tcW w:w="1692"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30702</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国外债务付息</w:t>
            </w:r>
          </w:p>
        </w:tc>
        <w:tc>
          <w:tcPr>
            <w:tcW w:w="1654" w:type="dxa"/>
            <w:tcBorders>
              <w:bottom w:val="single" w:color="000000" w:sz="4" w:space="0"/>
              <w:right w:val="single" w:color="000000" w:sz="4" w:space="0"/>
            </w:tcBorders>
            <w:vAlign w:val="center"/>
          </w:tcPr>
          <w:p>
            <w:pPr>
              <w:spacing w:line="160" w:lineRule="exact"/>
              <w:jc w:val="right"/>
              <w:rPr>
                <w:color w:val="000000"/>
                <w:sz w:val="20"/>
                <w:szCs w:val="16"/>
              </w:rPr>
            </w:pPr>
            <w:r>
              <w:rPr>
                <w:rFonts w:hint="eastAsia" w:cs="Arial"/>
                <w:color w:val="000000"/>
                <w:sz w:val="22"/>
                <w:szCs w:val="22"/>
              </w:rPr>
              <w:t>0.00</w:t>
            </w:r>
          </w:p>
        </w:tc>
      </w:tr>
      <w:tr>
        <w:tblPrEx>
          <w:tblCellMar>
            <w:top w:w="15" w:type="dxa"/>
            <w:left w:w="15" w:type="dxa"/>
            <w:bottom w:w="15" w:type="dxa"/>
            <w:right w:w="15" w:type="dxa"/>
          </w:tblCellMar>
        </w:tblPrEx>
        <w:trPr>
          <w:trHeight w:val="226" w:hRule="atLeas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30103</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奖金</w:t>
            </w:r>
          </w:p>
        </w:tc>
        <w:tc>
          <w:tcPr>
            <w:tcW w:w="1601"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747965.28</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30203</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咨询费</w:t>
            </w:r>
          </w:p>
        </w:tc>
        <w:tc>
          <w:tcPr>
            <w:tcW w:w="1692"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310</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资本性支出</w:t>
            </w:r>
          </w:p>
        </w:tc>
        <w:tc>
          <w:tcPr>
            <w:tcW w:w="1654" w:type="dxa"/>
            <w:tcBorders>
              <w:bottom w:val="single" w:color="000000" w:sz="4" w:space="0"/>
              <w:right w:val="single" w:color="000000" w:sz="4" w:space="0"/>
            </w:tcBorders>
            <w:vAlign w:val="center"/>
          </w:tcPr>
          <w:p>
            <w:pPr>
              <w:spacing w:line="160" w:lineRule="exact"/>
              <w:jc w:val="right"/>
              <w:rPr>
                <w:color w:val="000000"/>
                <w:sz w:val="20"/>
                <w:szCs w:val="16"/>
              </w:rPr>
            </w:pPr>
            <w:r>
              <w:rPr>
                <w:rFonts w:hint="eastAsia" w:cs="Arial"/>
                <w:color w:val="000000"/>
                <w:sz w:val="22"/>
                <w:szCs w:val="22"/>
              </w:rPr>
              <w:t>0.00</w:t>
            </w:r>
          </w:p>
        </w:tc>
      </w:tr>
      <w:tr>
        <w:tblPrEx>
          <w:tblCellMar>
            <w:top w:w="15" w:type="dxa"/>
            <w:left w:w="15" w:type="dxa"/>
            <w:bottom w:w="15" w:type="dxa"/>
            <w:right w:w="15" w:type="dxa"/>
          </w:tblCellMar>
        </w:tblPrEx>
        <w:trPr>
          <w:trHeight w:val="226" w:hRule="atLeas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30106</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伙食补助费</w:t>
            </w:r>
          </w:p>
        </w:tc>
        <w:tc>
          <w:tcPr>
            <w:tcW w:w="1601"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30204</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手续费</w:t>
            </w:r>
          </w:p>
        </w:tc>
        <w:tc>
          <w:tcPr>
            <w:tcW w:w="1692"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31001</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房屋建筑物购建</w:t>
            </w:r>
          </w:p>
        </w:tc>
        <w:tc>
          <w:tcPr>
            <w:tcW w:w="1654" w:type="dxa"/>
            <w:tcBorders>
              <w:bottom w:val="single" w:color="000000" w:sz="4" w:space="0"/>
              <w:right w:val="single" w:color="000000" w:sz="4" w:space="0"/>
            </w:tcBorders>
            <w:vAlign w:val="center"/>
          </w:tcPr>
          <w:p>
            <w:pPr>
              <w:spacing w:line="160" w:lineRule="exact"/>
              <w:jc w:val="right"/>
              <w:rPr>
                <w:color w:val="000000"/>
                <w:sz w:val="20"/>
                <w:szCs w:val="16"/>
              </w:rPr>
            </w:pPr>
            <w:r>
              <w:rPr>
                <w:rFonts w:hint="eastAsia" w:cs="Arial"/>
                <w:color w:val="000000"/>
                <w:sz w:val="22"/>
                <w:szCs w:val="22"/>
              </w:rPr>
              <w:t>0.00</w:t>
            </w:r>
          </w:p>
        </w:tc>
      </w:tr>
      <w:tr>
        <w:tblPrEx>
          <w:tblCellMar>
            <w:top w:w="15" w:type="dxa"/>
            <w:left w:w="15" w:type="dxa"/>
            <w:bottom w:w="15" w:type="dxa"/>
            <w:right w:w="15" w:type="dxa"/>
          </w:tblCellMar>
        </w:tblPrEx>
        <w:trPr>
          <w:trHeight w:val="226" w:hRule="atLeas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30107</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绩效工资</w:t>
            </w:r>
          </w:p>
        </w:tc>
        <w:tc>
          <w:tcPr>
            <w:tcW w:w="1601"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30205</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水费</w:t>
            </w:r>
          </w:p>
        </w:tc>
        <w:tc>
          <w:tcPr>
            <w:tcW w:w="1692"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15000.00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31002</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办公设备购置</w:t>
            </w:r>
          </w:p>
        </w:tc>
        <w:tc>
          <w:tcPr>
            <w:tcW w:w="1654" w:type="dxa"/>
            <w:tcBorders>
              <w:bottom w:val="single" w:color="000000" w:sz="4" w:space="0"/>
              <w:right w:val="single" w:color="000000" w:sz="4" w:space="0"/>
            </w:tcBorders>
            <w:vAlign w:val="center"/>
          </w:tcPr>
          <w:p>
            <w:pPr>
              <w:spacing w:line="160" w:lineRule="exact"/>
              <w:jc w:val="right"/>
              <w:rPr>
                <w:color w:val="000000"/>
                <w:sz w:val="20"/>
                <w:szCs w:val="16"/>
              </w:rPr>
            </w:pPr>
            <w:r>
              <w:rPr>
                <w:rFonts w:hint="eastAsia" w:cs="Arial"/>
                <w:color w:val="000000"/>
                <w:sz w:val="22"/>
                <w:szCs w:val="22"/>
              </w:rPr>
              <w:t>0.00</w:t>
            </w:r>
          </w:p>
        </w:tc>
      </w:tr>
      <w:tr>
        <w:tblPrEx>
          <w:tblCellMar>
            <w:top w:w="15" w:type="dxa"/>
            <w:left w:w="15" w:type="dxa"/>
            <w:bottom w:w="15" w:type="dxa"/>
            <w:right w:w="15" w:type="dxa"/>
          </w:tblCellMar>
        </w:tblPrEx>
        <w:trPr>
          <w:trHeight w:val="258" w:hRule="atLeas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30108</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机关事业单位基本养老保险缴费</w:t>
            </w:r>
          </w:p>
        </w:tc>
        <w:tc>
          <w:tcPr>
            <w:tcW w:w="1601"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908169.65</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30206</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电费</w:t>
            </w:r>
          </w:p>
        </w:tc>
        <w:tc>
          <w:tcPr>
            <w:tcW w:w="1692"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40000.00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31003</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专用设备购置</w:t>
            </w:r>
          </w:p>
        </w:tc>
        <w:tc>
          <w:tcPr>
            <w:tcW w:w="1654" w:type="dxa"/>
            <w:tcBorders>
              <w:bottom w:val="single" w:color="000000" w:sz="4" w:space="0"/>
              <w:right w:val="single" w:color="000000" w:sz="4" w:space="0"/>
            </w:tcBorders>
            <w:vAlign w:val="center"/>
          </w:tcPr>
          <w:p>
            <w:pPr>
              <w:spacing w:line="160" w:lineRule="exact"/>
              <w:jc w:val="right"/>
              <w:rPr>
                <w:color w:val="000000"/>
                <w:sz w:val="20"/>
                <w:szCs w:val="16"/>
              </w:rPr>
            </w:pPr>
            <w:r>
              <w:rPr>
                <w:rFonts w:hint="eastAsia" w:cs="Arial"/>
                <w:color w:val="000000"/>
                <w:sz w:val="22"/>
                <w:szCs w:val="22"/>
              </w:rPr>
              <w:t>0.00</w:t>
            </w:r>
          </w:p>
        </w:tc>
      </w:tr>
      <w:tr>
        <w:tblPrEx>
          <w:tblCellMar>
            <w:top w:w="15" w:type="dxa"/>
            <w:left w:w="15" w:type="dxa"/>
            <w:bottom w:w="15" w:type="dxa"/>
            <w:right w:w="15" w:type="dxa"/>
          </w:tblCellMar>
        </w:tblPrEx>
        <w:trPr>
          <w:trHeight w:val="274" w:hRule="atLeas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30109</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职业年金缴费</w:t>
            </w:r>
          </w:p>
        </w:tc>
        <w:tc>
          <w:tcPr>
            <w:tcW w:w="1601"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1056621.51</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30207</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邮电费</w:t>
            </w:r>
          </w:p>
        </w:tc>
        <w:tc>
          <w:tcPr>
            <w:tcW w:w="1692"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35000.00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31005</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基础设施建设</w:t>
            </w:r>
          </w:p>
        </w:tc>
        <w:tc>
          <w:tcPr>
            <w:tcW w:w="1654" w:type="dxa"/>
            <w:tcBorders>
              <w:bottom w:val="single" w:color="000000" w:sz="4" w:space="0"/>
              <w:right w:val="single" w:color="000000" w:sz="4" w:space="0"/>
            </w:tcBorders>
            <w:vAlign w:val="center"/>
          </w:tcPr>
          <w:p>
            <w:pPr>
              <w:spacing w:line="160" w:lineRule="exact"/>
              <w:jc w:val="right"/>
              <w:rPr>
                <w:color w:val="000000"/>
                <w:sz w:val="20"/>
                <w:szCs w:val="16"/>
              </w:rPr>
            </w:pPr>
            <w:r>
              <w:rPr>
                <w:rFonts w:hint="eastAsia" w:cs="Arial"/>
                <w:color w:val="000000"/>
                <w:sz w:val="22"/>
                <w:szCs w:val="22"/>
              </w:rPr>
              <w:t>0.00</w:t>
            </w:r>
          </w:p>
        </w:tc>
      </w:tr>
      <w:tr>
        <w:tblPrEx>
          <w:tblCellMar>
            <w:top w:w="15" w:type="dxa"/>
            <w:left w:w="15" w:type="dxa"/>
            <w:bottom w:w="15" w:type="dxa"/>
            <w:right w:w="15" w:type="dxa"/>
          </w:tblCellMar>
        </w:tblPrEx>
        <w:trPr>
          <w:trHeight w:val="226" w:hRule="atLeas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30110</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职工基本医疗保险缴费</w:t>
            </w:r>
          </w:p>
        </w:tc>
        <w:tc>
          <w:tcPr>
            <w:tcW w:w="1601"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359867.41</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30208</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取暖费</w:t>
            </w:r>
          </w:p>
        </w:tc>
        <w:tc>
          <w:tcPr>
            <w:tcW w:w="1692"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187500.00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31006</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大型修缮</w:t>
            </w:r>
          </w:p>
        </w:tc>
        <w:tc>
          <w:tcPr>
            <w:tcW w:w="1654" w:type="dxa"/>
            <w:tcBorders>
              <w:bottom w:val="single" w:color="000000" w:sz="4" w:space="0"/>
              <w:right w:val="single" w:color="000000" w:sz="4" w:space="0"/>
            </w:tcBorders>
            <w:vAlign w:val="center"/>
          </w:tcPr>
          <w:p>
            <w:pPr>
              <w:spacing w:line="160" w:lineRule="exact"/>
              <w:jc w:val="right"/>
              <w:rPr>
                <w:color w:val="000000"/>
                <w:sz w:val="20"/>
                <w:szCs w:val="16"/>
              </w:rPr>
            </w:pPr>
            <w:r>
              <w:rPr>
                <w:rFonts w:hint="eastAsia" w:cs="Arial"/>
                <w:color w:val="000000"/>
                <w:sz w:val="22"/>
                <w:szCs w:val="22"/>
              </w:rPr>
              <w:t>0.00</w:t>
            </w:r>
          </w:p>
        </w:tc>
      </w:tr>
      <w:tr>
        <w:tblPrEx>
          <w:tblCellMar>
            <w:top w:w="15" w:type="dxa"/>
            <w:left w:w="15" w:type="dxa"/>
            <w:bottom w:w="15" w:type="dxa"/>
            <w:right w:w="15" w:type="dxa"/>
          </w:tblCellMar>
        </w:tblPrEx>
        <w:trPr>
          <w:trHeight w:val="258" w:hRule="atLeas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30111</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公务员医疗补助缴费</w:t>
            </w:r>
          </w:p>
        </w:tc>
        <w:tc>
          <w:tcPr>
            <w:tcW w:w="1601"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61131.72</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30209</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物业管理费</w:t>
            </w:r>
          </w:p>
        </w:tc>
        <w:tc>
          <w:tcPr>
            <w:tcW w:w="1692"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31007</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信息网络及软件购置更新</w:t>
            </w:r>
          </w:p>
        </w:tc>
        <w:tc>
          <w:tcPr>
            <w:tcW w:w="1654" w:type="dxa"/>
            <w:tcBorders>
              <w:bottom w:val="single" w:color="000000" w:sz="4" w:space="0"/>
              <w:right w:val="single" w:color="000000" w:sz="4" w:space="0"/>
            </w:tcBorders>
            <w:vAlign w:val="center"/>
          </w:tcPr>
          <w:p>
            <w:pPr>
              <w:spacing w:line="160" w:lineRule="exact"/>
              <w:jc w:val="right"/>
              <w:rPr>
                <w:color w:val="000000"/>
                <w:sz w:val="20"/>
                <w:szCs w:val="16"/>
              </w:rPr>
            </w:pPr>
            <w:r>
              <w:rPr>
                <w:rFonts w:hint="eastAsia" w:cs="Arial"/>
                <w:color w:val="000000"/>
                <w:sz w:val="22"/>
                <w:szCs w:val="22"/>
              </w:rPr>
              <w:t>0.00</w:t>
            </w:r>
          </w:p>
        </w:tc>
      </w:tr>
      <w:tr>
        <w:tblPrEx>
          <w:tblCellMar>
            <w:top w:w="15" w:type="dxa"/>
            <w:left w:w="15" w:type="dxa"/>
            <w:bottom w:w="15" w:type="dxa"/>
            <w:right w:w="15" w:type="dxa"/>
          </w:tblCellMar>
        </w:tblPrEx>
        <w:trPr>
          <w:trHeight w:val="290" w:hRule="atLeas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30112</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其他社会保障缴费</w:t>
            </w:r>
          </w:p>
        </w:tc>
        <w:tc>
          <w:tcPr>
            <w:tcW w:w="1601"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18804.96</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30211</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差旅费</w:t>
            </w:r>
          </w:p>
        </w:tc>
        <w:tc>
          <w:tcPr>
            <w:tcW w:w="1692"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28896.47</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31008</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物资储备</w:t>
            </w:r>
          </w:p>
        </w:tc>
        <w:tc>
          <w:tcPr>
            <w:tcW w:w="1654" w:type="dxa"/>
            <w:tcBorders>
              <w:bottom w:val="single" w:color="000000" w:sz="4" w:space="0"/>
              <w:right w:val="single" w:color="000000" w:sz="4" w:space="0"/>
            </w:tcBorders>
            <w:vAlign w:val="center"/>
          </w:tcPr>
          <w:p>
            <w:pPr>
              <w:spacing w:line="160" w:lineRule="exact"/>
              <w:jc w:val="right"/>
              <w:rPr>
                <w:color w:val="000000"/>
                <w:sz w:val="20"/>
                <w:szCs w:val="16"/>
              </w:rPr>
            </w:pPr>
            <w:r>
              <w:rPr>
                <w:rFonts w:hint="eastAsia" w:cs="Arial"/>
                <w:color w:val="000000"/>
                <w:sz w:val="22"/>
                <w:szCs w:val="22"/>
              </w:rPr>
              <w:t>0.00</w:t>
            </w:r>
          </w:p>
        </w:tc>
      </w:tr>
      <w:tr>
        <w:tblPrEx>
          <w:tblCellMar>
            <w:top w:w="15" w:type="dxa"/>
            <w:left w:w="15" w:type="dxa"/>
            <w:bottom w:w="15" w:type="dxa"/>
            <w:right w:w="15" w:type="dxa"/>
          </w:tblCellMar>
        </w:tblPrEx>
        <w:trPr>
          <w:trHeight w:val="210" w:hRule="atLeas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30113</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住房公积金</w:t>
            </w:r>
          </w:p>
        </w:tc>
        <w:tc>
          <w:tcPr>
            <w:tcW w:w="1601"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764671.00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30212</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因公出国（境）费用</w:t>
            </w:r>
          </w:p>
        </w:tc>
        <w:tc>
          <w:tcPr>
            <w:tcW w:w="1692"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31009</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土地补偿</w:t>
            </w:r>
          </w:p>
        </w:tc>
        <w:tc>
          <w:tcPr>
            <w:tcW w:w="1654" w:type="dxa"/>
            <w:tcBorders>
              <w:bottom w:val="single" w:color="000000" w:sz="4" w:space="0"/>
              <w:right w:val="single" w:color="000000" w:sz="4" w:space="0"/>
            </w:tcBorders>
            <w:vAlign w:val="center"/>
          </w:tcPr>
          <w:p>
            <w:pPr>
              <w:spacing w:line="160" w:lineRule="exact"/>
              <w:jc w:val="right"/>
              <w:rPr>
                <w:color w:val="000000"/>
                <w:sz w:val="20"/>
                <w:szCs w:val="16"/>
              </w:rPr>
            </w:pPr>
            <w:r>
              <w:rPr>
                <w:rFonts w:hint="eastAsia" w:cs="Arial"/>
                <w:color w:val="000000"/>
                <w:sz w:val="22"/>
                <w:szCs w:val="22"/>
              </w:rPr>
              <w:t>0.00</w:t>
            </w:r>
          </w:p>
        </w:tc>
      </w:tr>
      <w:tr>
        <w:tblPrEx>
          <w:tblCellMar>
            <w:top w:w="15" w:type="dxa"/>
            <w:left w:w="15" w:type="dxa"/>
            <w:bottom w:w="15" w:type="dxa"/>
            <w:right w:w="15" w:type="dxa"/>
          </w:tblCellMar>
        </w:tblPrEx>
        <w:trPr>
          <w:trHeight w:val="226" w:hRule="atLeas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30114</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医疗费</w:t>
            </w:r>
          </w:p>
        </w:tc>
        <w:tc>
          <w:tcPr>
            <w:tcW w:w="1601"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30213</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维修（护）费</w:t>
            </w:r>
          </w:p>
        </w:tc>
        <w:tc>
          <w:tcPr>
            <w:tcW w:w="1692"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31010</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安置补助</w:t>
            </w:r>
          </w:p>
        </w:tc>
        <w:tc>
          <w:tcPr>
            <w:tcW w:w="1654" w:type="dxa"/>
            <w:tcBorders>
              <w:bottom w:val="single" w:color="000000" w:sz="4" w:space="0"/>
              <w:right w:val="single" w:color="000000" w:sz="4" w:space="0"/>
            </w:tcBorders>
            <w:vAlign w:val="center"/>
          </w:tcPr>
          <w:p>
            <w:pPr>
              <w:spacing w:line="160" w:lineRule="exact"/>
              <w:jc w:val="right"/>
              <w:rPr>
                <w:color w:val="000000"/>
                <w:sz w:val="20"/>
                <w:szCs w:val="16"/>
              </w:rPr>
            </w:pPr>
            <w:r>
              <w:rPr>
                <w:rFonts w:hint="eastAsia" w:cs="Arial"/>
                <w:color w:val="000000"/>
                <w:sz w:val="22"/>
                <w:szCs w:val="22"/>
              </w:rPr>
              <w:t>0.00</w:t>
            </w:r>
          </w:p>
        </w:tc>
      </w:tr>
      <w:tr>
        <w:tblPrEx>
          <w:tblCellMar>
            <w:top w:w="15" w:type="dxa"/>
            <w:left w:w="15" w:type="dxa"/>
            <w:bottom w:w="15" w:type="dxa"/>
            <w:right w:w="15" w:type="dxa"/>
          </w:tblCellMar>
        </w:tblPrEx>
        <w:trPr>
          <w:trHeight w:val="258" w:hRule="atLeas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30199</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其他工资福利支出</w:t>
            </w:r>
          </w:p>
        </w:tc>
        <w:tc>
          <w:tcPr>
            <w:tcW w:w="1601" w:type="dxa"/>
            <w:tcBorders>
              <w:bottom w:val="single" w:color="000000" w:sz="4" w:space="0"/>
              <w:right w:val="single" w:color="000000" w:sz="4" w:space="0"/>
            </w:tcBorders>
            <w:shd w:val="clear" w:color="auto" w:fill="auto"/>
            <w:vAlign w:val="center"/>
          </w:tcPr>
          <w:p>
            <w:pPr>
              <w:wordWrap w:val="0"/>
              <w:jc w:val="right"/>
              <w:rPr>
                <w:rFonts w:ascii="宋体" w:hAnsi="宋体" w:cs="Arial"/>
                <w:color w:val="000000"/>
                <w:sz w:val="22"/>
                <w:szCs w:val="22"/>
              </w:rPr>
            </w:pPr>
            <w:r>
              <w:rPr>
                <w:rFonts w:hint="eastAsia" w:cs="Arial"/>
                <w:color w:val="000000"/>
                <w:sz w:val="22"/>
                <w:szCs w:val="22"/>
              </w:rPr>
              <w:t xml:space="preserve"> 4981066.06 </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30214</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租赁费</w:t>
            </w:r>
          </w:p>
        </w:tc>
        <w:tc>
          <w:tcPr>
            <w:tcW w:w="1692"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31011</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地上附着物和青苗补偿</w:t>
            </w:r>
          </w:p>
        </w:tc>
        <w:tc>
          <w:tcPr>
            <w:tcW w:w="1654" w:type="dxa"/>
            <w:tcBorders>
              <w:bottom w:val="single" w:color="000000" w:sz="4" w:space="0"/>
              <w:right w:val="single" w:color="000000" w:sz="4" w:space="0"/>
            </w:tcBorders>
            <w:vAlign w:val="center"/>
          </w:tcPr>
          <w:p>
            <w:pPr>
              <w:spacing w:line="160" w:lineRule="exact"/>
              <w:jc w:val="right"/>
              <w:rPr>
                <w:color w:val="000000"/>
                <w:sz w:val="20"/>
                <w:szCs w:val="16"/>
              </w:rPr>
            </w:pPr>
            <w:r>
              <w:rPr>
                <w:rFonts w:hint="eastAsia" w:cs="Arial"/>
                <w:color w:val="000000"/>
                <w:sz w:val="22"/>
                <w:szCs w:val="22"/>
              </w:rPr>
              <w:t>0.00</w:t>
            </w:r>
          </w:p>
        </w:tc>
      </w:tr>
      <w:tr>
        <w:tblPrEx>
          <w:tblCellMar>
            <w:top w:w="15" w:type="dxa"/>
            <w:left w:w="15" w:type="dxa"/>
            <w:bottom w:w="15" w:type="dxa"/>
            <w:right w:w="15" w:type="dxa"/>
          </w:tblCellMar>
        </w:tblPrEx>
        <w:trPr>
          <w:trHeight w:val="242" w:hRule="atLeas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303</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对个人和家庭的补助</w:t>
            </w:r>
          </w:p>
        </w:tc>
        <w:tc>
          <w:tcPr>
            <w:tcW w:w="1601"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6583616.02</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30215</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会议费</w:t>
            </w:r>
          </w:p>
        </w:tc>
        <w:tc>
          <w:tcPr>
            <w:tcW w:w="1692"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31012</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拆迁补偿</w:t>
            </w:r>
          </w:p>
        </w:tc>
        <w:tc>
          <w:tcPr>
            <w:tcW w:w="1654" w:type="dxa"/>
            <w:tcBorders>
              <w:bottom w:val="single" w:color="000000" w:sz="4" w:space="0"/>
              <w:right w:val="single" w:color="000000" w:sz="4" w:space="0"/>
            </w:tcBorders>
            <w:vAlign w:val="center"/>
          </w:tcPr>
          <w:p>
            <w:pPr>
              <w:spacing w:line="160" w:lineRule="exact"/>
              <w:jc w:val="right"/>
              <w:rPr>
                <w:color w:val="000000"/>
                <w:sz w:val="20"/>
                <w:szCs w:val="16"/>
              </w:rPr>
            </w:pPr>
            <w:r>
              <w:rPr>
                <w:rFonts w:hint="eastAsia" w:cs="Arial"/>
                <w:color w:val="000000"/>
                <w:sz w:val="22"/>
                <w:szCs w:val="22"/>
              </w:rPr>
              <w:t>0.00</w:t>
            </w:r>
          </w:p>
        </w:tc>
      </w:tr>
      <w:tr>
        <w:tblPrEx>
          <w:tblCellMar>
            <w:top w:w="15" w:type="dxa"/>
            <w:left w:w="15" w:type="dxa"/>
            <w:bottom w:w="15" w:type="dxa"/>
            <w:right w:w="15" w:type="dxa"/>
          </w:tblCellMar>
        </w:tblPrEx>
        <w:trPr>
          <w:trHeight w:val="242" w:hRule="atLeas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30301</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离休费</w:t>
            </w:r>
          </w:p>
        </w:tc>
        <w:tc>
          <w:tcPr>
            <w:tcW w:w="1601"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30216</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培训费</w:t>
            </w:r>
          </w:p>
        </w:tc>
        <w:tc>
          <w:tcPr>
            <w:tcW w:w="1692"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31013</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公务用车购置</w:t>
            </w:r>
          </w:p>
        </w:tc>
        <w:tc>
          <w:tcPr>
            <w:tcW w:w="1654" w:type="dxa"/>
            <w:tcBorders>
              <w:bottom w:val="single" w:color="000000" w:sz="4" w:space="0"/>
              <w:right w:val="single" w:color="000000" w:sz="4" w:space="0"/>
            </w:tcBorders>
            <w:vAlign w:val="center"/>
          </w:tcPr>
          <w:p>
            <w:pPr>
              <w:spacing w:line="160" w:lineRule="exact"/>
              <w:jc w:val="right"/>
              <w:rPr>
                <w:color w:val="000000"/>
                <w:sz w:val="20"/>
                <w:szCs w:val="16"/>
              </w:rPr>
            </w:pPr>
            <w:r>
              <w:rPr>
                <w:rFonts w:hint="eastAsia" w:cs="Arial"/>
                <w:color w:val="000000"/>
                <w:sz w:val="22"/>
                <w:szCs w:val="22"/>
              </w:rPr>
              <w:t>0.00</w:t>
            </w:r>
          </w:p>
        </w:tc>
      </w:tr>
      <w:tr>
        <w:tblPrEx>
          <w:tblCellMar>
            <w:top w:w="15" w:type="dxa"/>
            <w:left w:w="15" w:type="dxa"/>
            <w:bottom w:w="15" w:type="dxa"/>
            <w:right w:w="15" w:type="dxa"/>
          </w:tblCellMar>
        </w:tblPrEx>
        <w:trPr>
          <w:trHeight w:val="258" w:hRule="atLeas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30302</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退休费</w:t>
            </w:r>
          </w:p>
        </w:tc>
        <w:tc>
          <w:tcPr>
            <w:tcW w:w="1601"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232345.00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30217</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公务接待费</w:t>
            </w:r>
          </w:p>
        </w:tc>
        <w:tc>
          <w:tcPr>
            <w:tcW w:w="1692"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31019</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其他交通工具购置</w:t>
            </w:r>
          </w:p>
        </w:tc>
        <w:tc>
          <w:tcPr>
            <w:tcW w:w="1654" w:type="dxa"/>
            <w:tcBorders>
              <w:bottom w:val="single" w:color="000000" w:sz="4" w:space="0"/>
              <w:right w:val="single" w:color="000000" w:sz="4" w:space="0"/>
            </w:tcBorders>
            <w:vAlign w:val="center"/>
          </w:tcPr>
          <w:p>
            <w:pPr>
              <w:spacing w:line="160" w:lineRule="exact"/>
              <w:jc w:val="right"/>
              <w:rPr>
                <w:color w:val="000000"/>
                <w:sz w:val="20"/>
                <w:szCs w:val="16"/>
              </w:rPr>
            </w:pPr>
            <w:r>
              <w:rPr>
                <w:rFonts w:hint="eastAsia" w:cs="Arial"/>
                <w:color w:val="000000"/>
                <w:sz w:val="22"/>
                <w:szCs w:val="22"/>
              </w:rPr>
              <w:t>0.00</w:t>
            </w:r>
          </w:p>
        </w:tc>
      </w:tr>
      <w:tr>
        <w:tblPrEx>
          <w:tblCellMar>
            <w:top w:w="15" w:type="dxa"/>
            <w:left w:w="15" w:type="dxa"/>
            <w:bottom w:w="15" w:type="dxa"/>
            <w:right w:w="15" w:type="dxa"/>
          </w:tblCellMar>
        </w:tblPrEx>
        <w:trPr>
          <w:trHeight w:val="210" w:hRule="atLeas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30303</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退职（役）费</w:t>
            </w:r>
          </w:p>
        </w:tc>
        <w:tc>
          <w:tcPr>
            <w:tcW w:w="1601"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30218</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专用材料费</w:t>
            </w:r>
          </w:p>
        </w:tc>
        <w:tc>
          <w:tcPr>
            <w:tcW w:w="1692"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31021</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文物和陈列品购置</w:t>
            </w:r>
          </w:p>
        </w:tc>
        <w:tc>
          <w:tcPr>
            <w:tcW w:w="1654" w:type="dxa"/>
            <w:tcBorders>
              <w:bottom w:val="single" w:color="000000" w:sz="4" w:space="0"/>
              <w:right w:val="single" w:color="000000" w:sz="4" w:space="0"/>
            </w:tcBorders>
            <w:vAlign w:val="center"/>
          </w:tcPr>
          <w:p>
            <w:pPr>
              <w:spacing w:line="160" w:lineRule="exact"/>
              <w:jc w:val="right"/>
              <w:rPr>
                <w:color w:val="000000"/>
                <w:sz w:val="20"/>
                <w:szCs w:val="16"/>
              </w:rPr>
            </w:pPr>
            <w:r>
              <w:rPr>
                <w:rFonts w:hint="eastAsia" w:cs="Arial"/>
                <w:color w:val="000000"/>
                <w:sz w:val="22"/>
                <w:szCs w:val="22"/>
              </w:rPr>
              <w:t>0.00</w:t>
            </w:r>
          </w:p>
        </w:tc>
      </w:tr>
      <w:tr>
        <w:tblPrEx>
          <w:tblCellMar>
            <w:top w:w="15" w:type="dxa"/>
            <w:left w:w="15" w:type="dxa"/>
            <w:bottom w:w="15" w:type="dxa"/>
            <w:right w:w="15" w:type="dxa"/>
          </w:tblCellMar>
        </w:tblPrEx>
        <w:trPr>
          <w:trHeight w:val="226" w:hRule="atLeas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30304</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抚恤金</w:t>
            </w:r>
          </w:p>
        </w:tc>
        <w:tc>
          <w:tcPr>
            <w:tcW w:w="1601"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75382.00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30224</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被装购置费</w:t>
            </w:r>
          </w:p>
        </w:tc>
        <w:tc>
          <w:tcPr>
            <w:tcW w:w="1692"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31022</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无形资产购置</w:t>
            </w:r>
          </w:p>
        </w:tc>
        <w:tc>
          <w:tcPr>
            <w:tcW w:w="1654" w:type="dxa"/>
            <w:tcBorders>
              <w:bottom w:val="single" w:color="000000" w:sz="4" w:space="0"/>
              <w:right w:val="single" w:color="000000" w:sz="4" w:space="0"/>
            </w:tcBorders>
            <w:vAlign w:val="center"/>
          </w:tcPr>
          <w:p>
            <w:pPr>
              <w:spacing w:line="160" w:lineRule="exact"/>
              <w:jc w:val="right"/>
              <w:rPr>
                <w:color w:val="000000"/>
                <w:sz w:val="20"/>
                <w:szCs w:val="16"/>
              </w:rPr>
            </w:pPr>
            <w:r>
              <w:rPr>
                <w:rFonts w:hint="eastAsia" w:cs="Arial"/>
                <w:color w:val="000000"/>
                <w:sz w:val="22"/>
                <w:szCs w:val="22"/>
              </w:rPr>
              <w:t>0.00</w:t>
            </w:r>
          </w:p>
        </w:tc>
      </w:tr>
      <w:tr>
        <w:tblPrEx>
          <w:tblCellMar>
            <w:top w:w="15" w:type="dxa"/>
            <w:left w:w="15" w:type="dxa"/>
            <w:bottom w:w="15" w:type="dxa"/>
            <w:right w:w="15" w:type="dxa"/>
          </w:tblCellMar>
        </w:tblPrEx>
        <w:trPr>
          <w:trHeight w:val="226" w:hRule="atLeas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30305</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生活补助</w:t>
            </w:r>
          </w:p>
        </w:tc>
        <w:tc>
          <w:tcPr>
            <w:tcW w:w="1601"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6562.00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30225</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专用燃料费</w:t>
            </w:r>
          </w:p>
        </w:tc>
        <w:tc>
          <w:tcPr>
            <w:tcW w:w="1692"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31099</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其他资本性支出</w:t>
            </w:r>
          </w:p>
        </w:tc>
        <w:tc>
          <w:tcPr>
            <w:tcW w:w="1654" w:type="dxa"/>
            <w:tcBorders>
              <w:bottom w:val="single" w:color="000000" w:sz="4" w:space="0"/>
              <w:right w:val="single" w:color="000000" w:sz="4" w:space="0"/>
            </w:tcBorders>
            <w:vAlign w:val="center"/>
          </w:tcPr>
          <w:p>
            <w:pPr>
              <w:spacing w:line="160" w:lineRule="exact"/>
              <w:jc w:val="right"/>
              <w:rPr>
                <w:color w:val="000000"/>
                <w:sz w:val="20"/>
                <w:szCs w:val="16"/>
              </w:rPr>
            </w:pPr>
            <w:r>
              <w:rPr>
                <w:rFonts w:hint="eastAsia" w:cs="Arial"/>
                <w:color w:val="000000"/>
                <w:sz w:val="22"/>
                <w:szCs w:val="22"/>
              </w:rPr>
              <w:t>0.00</w:t>
            </w:r>
          </w:p>
        </w:tc>
      </w:tr>
      <w:tr>
        <w:tblPrEx>
          <w:tblCellMar>
            <w:top w:w="15" w:type="dxa"/>
            <w:left w:w="15" w:type="dxa"/>
            <w:bottom w:w="15" w:type="dxa"/>
            <w:right w:w="15" w:type="dxa"/>
          </w:tblCellMar>
        </w:tblPrEx>
        <w:trPr>
          <w:trHeight w:val="242" w:hRule="atLeas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30306</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救济费</w:t>
            </w:r>
          </w:p>
        </w:tc>
        <w:tc>
          <w:tcPr>
            <w:tcW w:w="1601"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30226</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劳务费</w:t>
            </w:r>
          </w:p>
        </w:tc>
        <w:tc>
          <w:tcPr>
            <w:tcW w:w="1692"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361807.50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399</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其他支出</w:t>
            </w:r>
          </w:p>
        </w:tc>
        <w:tc>
          <w:tcPr>
            <w:tcW w:w="1654" w:type="dxa"/>
            <w:tcBorders>
              <w:bottom w:val="single" w:color="000000" w:sz="4" w:space="0"/>
              <w:right w:val="single" w:color="000000" w:sz="4" w:space="0"/>
            </w:tcBorders>
            <w:vAlign w:val="center"/>
          </w:tcPr>
          <w:p>
            <w:pPr>
              <w:spacing w:line="160" w:lineRule="exact"/>
              <w:jc w:val="right"/>
              <w:rPr>
                <w:color w:val="000000"/>
                <w:sz w:val="20"/>
                <w:szCs w:val="16"/>
              </w:rPr>
            </w:pPr>
            <w:r>
              <w:rPr>
                <w:rFonts w:hint="eastAsia" w:cs="Arial"/>
                <w:color w:val="000000"/>
                <w:sz w:val="22"/>
                <w:szCs w:val="22"/>
              </w:rPr>
              <w:t>0.00</w:t>
            </w:r>
          </w:p>
        </w:tc>
      </w:tr>
      <w:tr>
        <w:tblPrEx>
          <w:tblCellMar>
            <w:top w:w="15" w:type="dxa"/>
            <w:left w:w="15" w:type="dxa"/>
            <w:bottom w:w="15" w:type="dxa"/>
            <w:right w:w="15" w:type="dxa"/>
          </w:tblCellMar>
        </w:tblPrEx>
        <w:trPr>
          <w:trHeight w:val="226" w:hRule="atLeas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30307</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医疗费补助</w:t>
            </w:r>
          </w:p>
        </w:tc>
        <w:tc>
          <w:tcPr>
            <w:tcW w:w="1601"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30227</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委托业务费</w:t>
            </w:r>
          </w:p>
        </w:tc>
        <w:tc>
          <w:tcPr>
            <w:tcW w:w="1692"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39906</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赠与</w:t>
            </w:r>
          </w:p>
        </w:tc>
        <w:tc>
          <w:tcPr>
            <w:tcW w:w="1654" w:type="dxa"/>
            <w:tcBorders>
              <w:bottom w:val="single" w:color="000000" w:sz="4" w:space="0"/>
              <w:right w:val="single" w:color="000000" w:sz="4" w:space="0"/>
            </w:tcBorders>
            <w:vAlign w:val="center"/>
          </w:tcPr>
          <w:p>
            <w:pPr>
              <w:spacing w:line="160" w:lineRule="exact"/>
              <w:jc w:val="right"/>
              <w:rPr>
                <w:color w:val="000000"/>
                <w:sz w:val="20"/>
                <w:szCs w:val="16"/>
              </w:rPr>
            </w:pPr>
            <w:r>
              <w:rPr>
                <w:rFonts w:hint="eastAsia" w:cs="Arial"/>
                <w:color w:val="000000"/>
                <w:sz w:val="22"/>
                <w:szCs w:val="22"/>
              </w:rPr>
              <w:t>0.00</w:t>
            </w:r>
          </w:p>
        </w:tc>
      </w:tr>
      <w:tr>
        <w:tblPrEx>
          <w:tblCellMar>
            <w:top w:w="15" w:type="dxa"/>
            <w:left w:w="15" w:type="dxa"/>
            <w:bottom w:w="15" w:type="dxa"/>
            <w:right w:w="15" w:type="dxa"/>
          </w:tblCellMar>
        </w:tblPrEx>
        <w:trPr>
          <w:trHeight w:val="210" w:hRule="atLeas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30308</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助学金</w:t>
            </w:r>
          </w:p>
        </w:tc>
        <w:tc>
          <w:tcPr>
            <w:tcW w:w="1601"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30228</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工会经费</w:t>
            </w:r>
          </w:p>
        </w:tc>
        <w:tc>
          <w:tcPr>
            <w:tcW w:w="1692"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39907</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国家赔偿费用支出</w:t>
            </w:r>
          </w:p>
        </w:tc>
        <w:tc>
          <w:tcPr>
            <w:tcW w:w="1654" w:type="dxa"/>
            <w:tcBorders>
              <w:bottom w:val="single" w:color="000000" w:sz="4" w:space="0"/>
              <w:right w:val="single" w:color="000000" w:sz="4" w:space="0"/>
            </w:tcBorders>
            <w:vAlign w:val="center"/>
          </w:tcPr>
          <w:p>
            <w:pPr>
              <w:spacing w:line="160" w:lineRule="exact"/>
              <w:jc w:val="right"/>
              <w:rPr>
                <w:color w:val="000000"/>
                <w:sz w:val="20"/>
                <w:szCs w:val="16"/>
              </w:rPr>
            </w:pPr>
            <w:r>
              <w:rPr>
                <w:rFonts w:hint="eastAsia" w:cs="Arial"/>
                <w:color w:val="000000"/>
                <w:sz w:val="22"/>
                <w:szCs w:val="22"/>
              </w:rPr>
              <w:t>0.00</w:t>
            </w:r>
          </w:p>
        </w:tc>
      </w:tr>
      <w:tr>
        <w:tblPrEx>
          <w:tblCellMar>
            <w:top w:w="15" w:type="dxa"/>
            <w:left w:w="15" w:type="dxa"/>
            <w:bottom w:w="15" w:type="dxa"/>
            <w:right w:w="15" w:type="dxa"/>
          </w:tblCellMar>
        </w:tblPrEx>
        <w:trPr>
          <w:trHeight w:val="274" w:hRule="atLeas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30309</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奖励金</w:t>
            </w:r>
          </w:p>
        </w:tc>
        <w:tc>
          <w:tcPr>
            <w:tcW w:w="1601"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30229</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福利费</w:t>
            </w:r>
          </w:p>
        </w:tc>
        <w:tc>
          <w:tcPr>
            <w:tcW w:w="1692"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39908</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对民间非营利组织和群众性自治组织补贴</w:t>
            </w:r>
          </w:p>
        </w:tc>
        <w:tc>
          <w:tcPr>
            <w:tcW w:w="1654" w:type="dxa"/>
            <w:tcBorders>
              <w:bottom w:val="single" w:color="000000" w:sz="4" w:space="0"/>
              <w:right w:val="single" w:color="000000" w:sz="4" w:space="0"/>
            </w:tcBorders>
            <w:vAlign w:val="center"/>
          </w:tcPr>
          <w:p>
            <w:pPr>
              <w:spacing w:line="160" w:lineRule="exact"/>
              <w:jc w:val="right"/>
              <w:rPr>
                <w:color w:val="000000"/>
                <w:sz w:val="20"/>
                <w:szCs w:val="16"/>
              </w:rPr>
            </w:pPr>
            <w:r>
              <w:rPr>
                <w:rFonts w:hint="eastAsia" w:cs="Arial"/>
                <w:color w:val="000000"/>
                <w:sz w:val="22"/>
                <w:szCs w:val="22"/>
              </w:rPr>
              <w:t>0.00</w:t>
            </w:r>
          </w:p>
        </w:tc>
      </w:tr>
      <w:tr>
        <w:tblPrEx>
          <w:tblCellMar>
            <w:top w:w="15" w:type="dxa"/>
            <w:left w:w="15" w:type="dxa"/>
            <w:bottom w:w="15" w:type="dxa"/>
            <w:right w:w="15" w:type="dxa"/>
          </w:tblCellMar>
        </w:tblPrEx>
        <w:trPr>
          <w:trHeight w:val="210" w:hRule="atLeas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30310</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个人农业生产补贴</w:t>
            </w:r>
          </w:p>
        </w:tc>
        <w:tc>
          <w:tcPr>
            <w:tcW w:w="1601"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30231</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公务用车运行维护费</w:t>
            </w:r>
          </w:p>
        </w:tc>
        <w:tc>
          <w:tcPr>
            <w:tcW w:w="1692"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120000.00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39999</w:t>
            </w: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其他支出</w:t>
            </w:r>
          </w:p>
        </w:tc>
        <w:tc>
          <w:tcPr>
            <w:tcW w:w="1654" w:type="dxa"/>
            <w:tcBorders>
              <w:bottom w:val="single" w:color="000000" w:sz="4" w:space="0"/>
              <w:right w:val="single" w:color="000000" w:sz="4" w:space="0"/>
            </w:tcBorders>
            <w:vAlign w:val="center"/>
          </w:tcPr>
          <w:p>
            <w:pPr>
              <w:spacing w:line="160" w:lineRule="exact"/>
              <w:jc w:val="right"/>
              <w:rPr>
                <w:color w:val="000000"/>
                <w:sz w:val="20"/>
                <w:szCs w:val="16"/>
              </w:rPr>
            </w:pPr>
            <w:r>
              <w:rPr>
                <w:rFonts w:hint="eastAsia" w:cs="Arial"/>
                <w:color w:val="000000"/>
                <w:sz w:val="22"/>
                <w:szCs w:val="22"/>
              </w:rPr>
              <w:t>0.00</w:t>
            </w:r>
          </w:p>
        </w:tc>
      </w:tr>
      <w:tr>
        <w:tblPrEx>
          <w:tblCellMar>
            <w:top w:w="15" w:type="dxa"/>
            <w:left w:w="15" w:type="dxa"/>
            <w:bottom w:w="15" w:type="dxa"/>
            <w:right w:w="15" w:type="dxa"/>
          </w:tblCellMar>
        </w:tblPrEx>
        <w:trPr>
          <w:trHeight w:val="258" w:hRule="atLeas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303</w:t>
            </w:r>
            <w:r>
              <w:rPr>
                <w:rFonts w:hint="eastAsia"/>
                <w:color w:val="000000"/>
                <w:kern w:val="0"/>
                <w:sz w:val="20"/>
                <w:szCs w:val="16"/>
              </w:rPr>
              <w:t>11</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rFonts w:hint="eastAsia"/>
                <w:color w:val="000000"/>
                <w:kern w:val="0"/>
                <w:sz w:val="20"/>
                <w:szCs w:val="16"/>
              </w:rPr>
              <w:t>代缴社会保险费</w:t>
            </w:r>
          </w:p>
        </w:tc>
        <w:tc>
          <w:tcPr>
            <w:tcW w:w="1601"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30239</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其他交通费用</w:t>
            </w:r>
          </w:p>
        </w:tc>
        <w:tc>
          <w:tcPr>
            <w:tcW w:w="1692"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38170.71</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p>
        </w:tc>
        <w:tc>
          <w:tcPr>
            <w:tcW w:w="1654" w:type="dxa"/>
            <w:tcBorders>
              <w:bottom w:val="single" w:color="000000" w:sz="4" w:space="0"/>
              <w:right w:val="single" w:color="000000" w:sz="4" w:space="0"/>
            </w:tcBorders>
            <w:vAlign w:val="center"/>
          </w:tcPr>
          <w:p>
            <w:pPr>
              <w:spacing w:line="160" w:lineRule="exact"/>
              <w:jc w:val="right"/>
              <w:rPr>
                <w:color w:val="000000"/>
                <w:sz w:val="20"/>
                <w:szCs w:val="16"/>
              </w:rPr>
            </w:pPr>
          </w:p>
        </w:tc>
      </w:tr>
      <w:tr>
        <w:tblPrEx>
          <w:tblCellMar>
            <w:top w:w="15" w:type="dxa"/>
            <w:left w:w="15" w:type="dxa"/>
            <w:bottom w:w="15" w:type="dxa"/>
            <w:right w:w="15" w:type="dxa"/>
          </w:tblCellMar>
        </w:tblPrEx>
        <w:trPr>
          <w:trHeight w:val="263" w:hRule="atLeast"/>
        </w:trPr>
        <w:tc>
          <w:tcPr>
            <w:tcW w:w="599" w:type="dxa"/>
            <w:tcBorders>
              <w:left w:val="single" w:color="000000" w:sz="4" w:space="0"/>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30399</w:t>
            </w:r>
          </w:p>
        </w:tc>
        <w:tc>
          <w:tcPr>
            <w:tcW w:w="2546"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其他对个人和家庭的补助</w:t>
            </w:r>
          </w:p>
        </w:tc>
        <w:tc>
          <w:tcPr>
            <w:tcW w:w="1601"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339327.02</w:t>
            </w: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30240</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税金及附加费用</w:t>
            </w:r>
          </w:p>
        </w:tc>
        <w:tc>
          <w:tcPr>
            <w:tcW w:w="1692"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p>
        </w:tc>
        <w:tc>
          <w:tcPr>
            <w:tcW w:w="1654" w:type="dxa"/>
            <w:tcBorders>
              <w:bottom w:val="single" w:color="000000" w:sz="4" w:space="0"/>
              <w:right w:val="single" w:color="000000" w:sz="4" w:space="0"/>
            </w:tcBorders>
            <w:vAlign w:val="center"/>
          </w:tcPr>
          <w:p>
            <w:pPr>
              <w:spacing w:line="160" w:lineRule="exact"/>
              <w:jc w:val="right"/>
              <w:rPr>
                <w:color w:val="000000"/>
                <w:sz w:val="20"/>
                <w:szCs w:val="16"/>
              </w:rPr>
            </w:pPr>
          </w:p>
        </w:tc>
      </w:tr>
      <w:tr>
        <w:tblPrEx>
          <w:tblCellMar>
            <w:top w:w="15" w:type="dxa"/>
            <w:left w:w="15" w:type="dxa"/>
            <w:bottom w:w="15" w:type="dxa"/>
            <w:right w:w="15" w:type="dxa"/>
          </w:tblCellMar>
        </w:tblPrEx>
        <w:trPr>
          <w:trHeight w:val="242" w:hRule="atLeast"/>
        </w:trPr>
        <w:tc>
          <w:tcPr>
            <w:tcW w:w="599" w:type="dxa"/>
            <w:tcBorders>
              <w:left w:val="single" w:color="000000" w:sz="4" w:space="0"/>
              <w:bottom w:val="single" w:color="000000" w:sz="4" w:space="0"/>
              <w:right w:val="single" w:color="000000" w:sz="4" w:space="0"/>
            </w:tcBorders>
            <w:shd w:val="clear" w:color="auto" w:fill="C0C0C0"/>
            <w:vAlign w:val="center"/>
          </w:tcPr>
          <w:p>
            <w:pPr>
              <w:spacing w:line="160" w:lineRule="exact"/>
              <w:jc w:val="left"/>
              <w:rPr>
                <w:color w:val="000000"/>
                <w:sz w:val="20"/>
                <w:szCs w:val="16"/>
              </w:rPr>
            </w:pPr>
          </w:p>
        </w:tc>
        <w:tc>
          <w:tcPr>
            <w:tcW w:w="2546" w:type="dxa"/>
            <w:tcBorders>
              <w:bottom w:val="single" w:color="000000" w:sz="4" w:space="0"/>
              <w:right w:val="single" w:color="000000" w:sz="4" w:space="0"/>
            </w:tcBorders>
            <w:shd w:val="clear" w:color="auto" w:fill="C0C0C0"/>
            <w:vAlign w:val="center"/>
          </w:tcPr>
          <w:p>
            <w:pPr>
              <w:spacing w:line="160" w:lineRule="exact"/>
              <w:jc w:val="left"/>
              <w:rPr>
                <w:color w:val="000000"/>
                <w:sz w:val="20"/>
                <w:szCs w:val="16"/>
              </w:rPr>
            </w:pPr>
          </w:p>
        </w:tc>
        <w:tc>
          <w:tcPr>
            <w:tcW w:w="1601" w:type="dxa"/>
            <w:tcBorders>
              <w:bottom w:val="single" w:color="000000" w:sz="4" w:space="0"/>
              <w:right w:val="single" w:color="000000" w:sz="4" w:space="0"/>
            </w:tcBorders>
            <w:shd w:val="clear" w:color="auto" w:fill="auto"/>
            <w:vAlign w:val="center"/>
          </w:tcPr>
          <w:p>
            <w:pPr>
              <w:spacing w:line="160" w:lineRule="exact"/>
              <w:jc w:val="right"/>
              <w:rPr>
                <w:color w:val="000000"/>
                <w:sz w:val="20"/>
                <w:szCs w:val="16"/>
              </w:rPr>
            </w:pP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30299</w:t>
            </w: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r>
              <w:rPr>
                <w:color w:val="000000"/>
                <w:kern w:val="0"/>
                <w:sz w:val="20"/>
                <w:szCs w:val="16"/>
              </w:rPr>
              <w:t xml:space="preserve">  其他商品和服务支出</w:t>
            </w:r>
          </w:p>
        </w:tc>
        <w:tc>
          <w:tcPr>
            <w:tcW w:w="1692" w:type="dxa"/>
            <w:tcBorders>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143683.10</w:t>
            </w:r>
          </w:p>
        </w:tc>
        <w:tc>
          <w:tcPr>
            <w:tcW w:w="54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p>
        </w:tc>
        <w:tc>
          <w:tcPr>
            <w:tcW w:w="3237"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p>
        </w:tc>
        <w:tc>
          <w:tcPr>
            <w:tcW w:w="1654" w:type="dxa"/>
            <w:tcBorders>
              <w:bottom w:val="single" w:color="000000" w:sz="4" w:space="0"/>
              <w:right w:val="single" w:color="000000" w:sz="4" w:space="0"/>
            </w:tcBorders>
            <w:vAlign w:val="center"/>
          </w:tcPr>
          <w:p>
            <w:pPr>
              <w:spacing w:line="160" w:lineRule="exact"/>
              <w:jc w:val="right"/>
              <w:rPr>
                <w:color w:val="000000"/>
                <w:sz w:val="20"/>
                <w:szCs w:val="16"/>
              </w:rPr>
            </w:pPr>
          </w:p>
        </w:tc>
      </w:tr>
      <w:tr>
        <w:tblPrEx>
          <w:tblCellMar>
            <w:top w:w="15" w:type="dxa"/>
            <w:left w:w="15" w:type="dxa"/>
            <w:bottom w:w="15" w:type="dxa"/>
            <w:right w:w="15" w:type="dxa"/>
          </w:tblCellMar>
        </w:tblPrEx>
        <w:trPr>
          <w:trHeight w:val="242" w:hRule="atLeast"/>
        </w:trPr>
        <w:tc>
          <w:tcPr>
            <w:tcW w:w="599" w:type="dxa"/>
            <w:tcBorders>
              <w:left w:val="single" w:color="000000" w:sz="4" w:space="0"/>
              <w:bottom w:val="single" w:color="000000" w:sz="4" w:space="0"/>
              <w:right w:val="single" w:color="000000" w:sz="4" w:space="0"/>
            </w:tcBorders>
            <w:shd w:val="clear" w:color="auto" w:fill="C0C0C0"/>
            <w:vAlign w:val="center"/>
          </w:tcPr>
          <w:p>
            <w:pPr>
              <w:spacing w:line="160" w:lineRule="exact"/>
              <w:jc w:val="left"/>
              <w:rPr>
                <w:color w:val="000000"/>
                <w:sz w:val="20"/>
                <w:szCs w:val="16"/>
              </w:rPr>
            </w:pPr>
          </w:p>
        </w:tc>
        <w:tc>
          <w:tcPr>
            <w:tcW w:w="2546" w:type="dxa"/>
            <w:tcBorders>
              <w:bottom w:val="single" w:color="000000" w:sz="4" w:space="0"/>
              <w:right w:val="single" w:color="000000" w:sz="4" w:space="0"/>
            </w:tcBorders>
            <w:shd w:val="clear" w:color="auto" w:fill="C0C0C0"/>
            <w:vAlign w:val="center"/>
          </w:tcPr>
          <w:p>
            <w:pPr>
              <w:spacing w:line="160" w:lineRule="exact"/>
              <w:jc w:val="left"/>
              <w:rPr>
                <w:color w:val="000000"/>
                <w:sz w:val="20"/>
                <w:szCs w:val="16"/>
              </w:rPr>
            </w:pPr>
          </w:p>
        </w:tc>
        <w:tc>
          <w:tcPr>
            <w:tcW w:w="1601" w:type="dxa"/>
            <w:tcBorders>
              <w:bottom w:val="single" w:color="000000" w:sz="4" w:space="0"/>
              <w:right w:val="single" w:color="000000" w:sz="4" w:space="0"/>
            </w:tcBorders>
            <w:shd w:val="clear" w:color="auto" w:fill="auto"/>
            <w:vAlign w:val="center"/>
          </w:tcPr>
          <w:p>
            <w:pPr>
              <w:spacing w:line="160" w:lineRule="exact"/>
              <w:jc w:val="right"/>
              <w:rPr>
                <w:color w:val="000000"/>
                <w:sz w:val="20"/>
                <w:szCs w:val="16"/>
              </w:rPr>
            </w:pPr>
          </w:p>
        </w:tc>
        <w:tc>
          <w:tcPr>
            <w:tcW w:w="899"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p>
        </w:tc>
        <w:tc>
          <w:tcPr>
            <w:tcW w:w="1753" w:type="dxa"/>
            <w:tcBorders>
              <w:bottom w:val="single" w:color="000000" w:sz="4" w:space="0"/>
              <w:right w:val="single" w:color="000000" w:sz="4" w:space="0"/>
            </w:tcBorders>
            <w:shd w:val="clear" w:color="auto" w:fill="C0C0C0"/>
            <w:vAlign w:val="center"/>
          </w:tcPr>
          <w:p>
            <w:pPr>
              <w:widowControl/>
              <w:spacing w:line="160" w:lineRule="exact"/>
              <w:jc w:val="left"/>
              <w:textAlignment w:val="center"/>
              <w:rPr>
                <w:color w:val="000000"/>
                <w:sz w:val="20"/>
                <w:szCs w:val="16"/>
              </w:rPr>
            </w:pPr>
          </w:p>
        </w:tc>
        <w:tc>
          <w:tcPr>
            <w:tcW w:w="1692" w:type="dxa"/>
            <w:tcBorders>
              <w:bottom w:val="single" w:color="000000" w:sz="4" w:space="0"/>
              <w:right w:val="single" w:color="000000" w:sz="4" w:space="0"/>
            </w:tcBorders>
            <w:shd w:val="clear" w:color="auto" w:fill="auto"/>
            <w:vAlign w:val="center"/>
          </w:tcPr>
          <w:p>
            <w:pPr>
              <w:spacing w:line="160" w:lineRule="exact"/>
              <w:jc w:val="right"/>
              <w:rPr>
                <w:color w:val="000000"/>
                <w:sz w:val="20"/>
                <w:szCs w:val="16"/>
              </w:rPr>
            </w:pPr>
          </w:p>
        </w:tc>
        <w:tc>
          <w:tcPr>
            <w:tcW w:w="549" w:type="dxa"/>
            <w:tcBorders>
              <w:bottom w:val="single" w:color="000000" w:sz="4" w:space="0"/>
              <w:right w:val="single" w:color="000000" w:sz="4" w:space="0"/>
            </w:tcBorders>
            <w:shd w:val="clear" w:color="auto" w:fill="C0C0C0"/>
            <w:vAlign w:val="center"/>
          </w:tcPr>
          <w:p>
            <w:pPr>
              <w:spacing w:line="160" w:lineRule="exact"/>
              <w:jc w:val="left"/>
              <w:rPr>
                <w:color w:val="000000"/>
                <w:sz w:val="20"/>
                <w:szCs w:val="16"/>
              </w:rPr>
            </w:pPr>
          </w:p>
        </w:tc>
        <w:tc>
          <w:tcPr>
            <w:tcW w:w="3237" w:type="dxa"/>
            <w:tcBorders>
              <w:bottom w:val="single" w:color="000000" w:sz="4" w:space="0"/>
              <w:right w:val="single" w:color="000000" w:sz="4" w:space="0"/>
            </w:tcBorders>
            <w:shd w:val="clear" w:color="auto" w:fill="C0C0C0"/>
            <w:vAlign w:val="center"/>
          </w:tcPr>
          <w:p>
            <w:pPr>
              <w:spacing w:line="160" w:lineRule="exact"/>
              <w:jc w:val="left"/>
              <w:rPr>
                <w:color w:val="000000"/>
                <w:sz w:val="20"/>
                <w:szCs w:val="16"/>
              </w:rPr>
            </w:pPr>
          </w:p>
        </w:tc>
        <w:tc>
          <w:tcPr>
            <w:tcW w:w="1654" w:type="dxa"/>
            <w:tcBorders>
              <w:bottom w:val="single" w:color="000000" w:sz="4" w:space="0"/>
              <w:right w:val="single" w:color="000000" w:sz="4" w:space="0"/>
            </w:tcBorders>
            <w:vAlign w:val="center"/>
          </w:tcPr>
          <w:p>
            <w:pPr>
              <w:spacing w:line="160" w:lineRule="exact"/>
              <w:jc w:val="right"/>
              <w:rPr>
                <w:color w:val="000000"/>
                <w:sz w:val="20"/>
                <w:szCs w:val="16"/>
              </w:rPr>
            </w:pPr>
          </w:p>
        </w:tc>
      </w:tr>
      <w:tr>
        <w:tblPrEx>
          <w:tblCellMar>
            <w:top w:w="15" w:type="dxa"/>
            <w:left w:w="15" w:type="dxa"/>
            <w:bottom w:w="15" w:type="dxa"/>
            <w:right w:w="15" w:type="dxa"/>
          </w:tblCellMar>
        </w:tblPrEx>
        <w:trPr>
          <w:trHeight w:val="226" w:hRule="atLeast"/>
        </w:trPr>
        <w:tc>
          <w:tcPr>
            <w:tcW w:w="314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160" w:lineRule="exact"/>
              <w:jc w:val="center"/>
              <w:textAlignment w:val="center"/>
              <w:rPr>
                <w:color w:val="000000"/>
                <w:sz w:val="20"/>
                <w:szCs w:val="16"/>
              </w:rPr>
            </w:pPr>
            <w:r>
              <w:rPr>
                <w:b/>
                <w:bCs/>
                <w:color w:val="000000"/>
                <w:kern w:val="0"/>
                <w:sz w:val="20"/>
                <w:szCs w:val="16"/>
              </w:rPr>
              <w:t>人员经费合计</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right"/>
              <w:rPr>
                <w:color w:val="000000"/>
                <w:sz w:val="20"/>
                <w:szCs w:val="16"/>
              </w:rPr>
            </w:pPr>
            <w:r>
              <w:rPr>
                <w:rFonts w:hint="eastAsia"/>
                <w:color w:val="000000"/>
                <w:sz w:val="20"/>
                <w:szCs w:val="16"/>
              </w:rPr>
              <w:t>15656635.53</w:t>
            </w:r>
          </w:p>
        </w:tc>
        <w:tc>
          <w:tcPr>
            <w:tcW w:w="8130"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160" w:lineRule="exact"/>
              <w:jc w:val="center"/>
              <w:textAlignment w:val="center"/>
              <w:rPr>
                <w:color w:val="000000"/>
                <w:sz w:val="20"/>
                <w:szCs w:val="16"/>
              </w:rPr>
            </w:pPr>
            <w:r>
              <w:rPr>
                <w:b/>
                <w:bCs/>
                <w:color w:val="000000"/>
                <w:kern w:val="0"/>
                <w:sz w:val="20"/>
                <w:szCs w:val="16"/>
              </w:rPr>
              <w:t>公用经费合计</w:t>
            </w:r>
          </w:p>
        </w:tc>
        <w:tc>
          <w:tcPr>
            <w:tcW w:w="1654" w:type="dxa"/>
            <w:tcBorders>
              <w:top w:val="single" w:color="000000" w:sz="4" w:space="0"/>
              <w:left w:val="single" w:color="000000" w:sz="4" w:space="0"/>
              <w:bottom w:val="single" w:color="000000" w:sz="4" w:space="0"/>
              <w:right w:val="single" w:color="000000" w:sz="4" w:space="0"/>
            </w:tcBorders>
            <w:vAlign w:val="center"/>
          </w:tcPr>
          <w:p>
            <w:pPr>
              <w:tabs>
                <w:tab w:val="left" w:pos="518"/>
              </w:tabs>
              <w:spacing w:line="160" w:lineRule="exact"/>
              <w:jc w:val="left"/>
              <w:rPr>
                <w:color w:val="000000"/>
                <w:sz w:val="20"/>
                <w:szCs w:val="16"/>
              </w:rPr>
            </w:pPr>
            <w:r>
              <w:rPr>
                <w:rFonts w:hint="eastAsia"/>
                <w:color w:val="000000"/>
                <w:sz w:val="20"/>
                <w:szCs w:val="16"/>
              </w:rPr>
              <w:tab/>
            </w:r>
            <w:r>
              <w:rPr>
                <w:rFonts w:hint="eastAsia"/>
                <w:color w:val="000000"/>
                <w:sz w:val="20"/>
                <w:szCs w:val="16"/>
              </w:rPr>
              <w:t>1044025.08</w:t>
            </w:r>
          </w:p>
        </w:tc>
      </w:tr>
      <w:tr>
        <w:tblPrEx>
          <w:tblCellMar>
            <w:top w:w="15" w:type="dxa"/>
            <w:left w:w="15" w:type="dxa"/>
            <w:bottom w:w="15" w:type="dxa"/>
            <w:right w:w="15" w:type="dxa"/>
          </w:tblCellMar>
        </w:tblPrEx>
        <w:trPr>
          <w:trHeight w:val="226" w:hRule="atLeast"/>
        </w:trPr>
        <w:tc>
          <w:tcPr>
            <w:tcW w:w="314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160" w:lineRule="exact"/>
              <w:jc w:val="center"/>
              <w:textAlignment w:val="center"/>
              <w:rPr>
                <w:color w:val="000000"/>
                <w:kern w:val="0"/>
                <w:sz w:val="20"/>
                <w:szCs w:val="16"/>
              </w:rPr>
            </w:pPr>
            <w:r>
              <w:rPr>
                <w:rFonts w:hint="eastAsia"/>
                <w:b/>
                <w:bCs/>
                <w:color w:val="000000"/>
                <w:kern w:val="0"/>
                <w:sz w:val="20"/>
                <w:szCs w:val="16"/>
              </w:rPr>
              <w:t>合计</w:t>
            </w:r>
          </w:p>
        </w:tc>
        <w:tc>
          <w:tcPr>
            <w:tcW w:w="11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right"/>
              <w:rPr>
                <w:color w:val="000000"/>
                <w:sz w:val="20"/>
                <w:szCs w:val="16"/>
              </w:rPr>
            </w:pPr>
            <w:r>
              <w:rPr>
                <w:rFonts w:hint="eastAsia"/>
                <w:color w:val="000000"/>
                <w:sz w:val="20"/>
                <w:szCs w:val="16"/>
              </w:rPr>
              <w:t>16700660.61</w:t>
            </w:r>
          </w:p>
        </w:tc>
      </w:tr>
      <w:tr>
        <w:tblPrEx>
          <w:tblCellMar>
            <w:top w:w="15" w:type="dxa"/>
            <w:left w:w="15" w:type="dxa"/>
            <w:bottom w:w="15" w:type="dxa"/>
            <w:right w:w="15" w:type="dxa"/>
          </w:tblCellMar>
        </w:tblPrEx>
        <w:trPr>
          <w:trHeight w:val="226" w:hRule="atLeast"/>
        </w:trPr>
        <w:tc>
          <w:tcPr>
            <w:tcW w:w="12876" w:type="dxa"/>
            <w:gridSpan w:val="8"/>
            <w:tcBorders>
              <w:top w:val="single" w:color="000000" w:sz="4" w:space="0"/>
              <w:left w:val="nil"/>
              <w:bottom w:val="nil"/>
              <w:right w:val="nil"/>
            </w:tcBorders>
            <w:shd w:val="clear" w:color="auto" w:fill="auto"/>
            <w:vAlign w:val="center"/>
          </w:tcPr>
          <w:p>
            <w:pPr>
              <w:widowControl/>
              <w:spacing w:line="160" w:lineRule="exact"/>
              <w:jc w:val="left"/>
              <w:textAlignment w:val="center"/>
              <w:rPr>
                <w:color w:val="000000"/>
                <w:kern w:val="0"/>
                <w:szCs w:val="16"/>
              </w:rPr>
            </w:pPr>
            <w:r>
              <w:rPr>
                <w:rFonts w:hint="eastAsia"/>
                <w:color w:val="000000"/>
                <w:kern w:val="0"/>
                <w:szCs w:val="16"/>
              </w:rPr>
              <w:t>注：本表反映部门年度一般公共预算财政拨款基本支出明细情况，数据取自财决08-1表</w:t>
            </w:r>
          </w:p>
        </w:tc>
        <w:tc>
          <w:tcPr>
            <w:tcW w:w="1654" w:type="dxa"/>
            <w:tcBorders>
              <w:top w:val="single" w:color="000000" w:sz="4" w:space="0"/>
              <w:left w:val="nil"/>
              <w:bottom w:val="nil"/>
              <w:right w:val="nil"/>
            </w:tcBorders>
            <w:vAlign w:val="center"/>
          </w:tcPr>
          <w:p>
            <w:pPr>
              <w:spacing w:line="160" w:lineRule="exact"/>
              <w:jc w:val="right"/>
              <w:rPr>
                <w:color w:val="000000"/>
                <w:szCs w:val="16"/>
              </w:rPr>
            </w:pPr>
          </w:p>
        </w:tc>
      </w:tr>
    </w:tbl>
    <w:p>
      <w:pPr>
        <w:widowControl/>
        <w:jc w:val="left"/>
        <w:rPr>
          <w:rFonts w:eastAsia="黑体"/>
          <w:b/>
          <w:bCs/>
          <w:color w:val="000000"/>
          <w:kern w:val="0"/>
          <w:sz w:val="40"/>
          <w:szCs w:val="40"/>
        </w:rPr>
      </w:pPr>
      <w:r>
        <w:rPr>
          <w:rFonts w:eastAsia="黑体"/>
          <w:b/>
          <w:bCs/>
          <w:color w:val="000000"/>
          <w:kern w:val="0"/>
          <w:sz w:val="40"/>
          <w:szCs w:val="40"/>
        </w:rPr>
        <w:br w:type="page"/>
      </w:r>
    </w:p>
    <w:tbl>
      <w:tblPr>
        <w:tblStyle w:val="9"/>
        <w:tblpPr w:leftFromText="180" w:rightFromText="180" w:vertAnchor="text" w:tblpX="1500" w:tblpY="1"/>
        <w:tblOverlap w:val="never"/>
        <w:tblW w:w="13054" w:type="dxa"/>
        <w:tblInd w:w="0" w:type="dxa"/>
        <w:tblLayout w:type="fixed"/>
        <w:tblCellMar>
          <w:top w:w="0" w:type="dxa"/>
          <w:left w:w="0" w:type="dxa"/>
          <w:bottom w:w="0" w:type="dxa"/>
          <w:right w:w="0" w:type="dxa"/>
        </w:tblCellMar>
      </w:tblPr>
      <w:tblGrid>
        <w:gridCol w:w="5293"/>
        <w:gridCol w:w="870"/>
        <w:gridCol w:w="3009"/>
        <w:gridCol w:w="870"/>
        <w:gridCol w:w="3012"/>
      </w:tblGrid>
      <w:tr>
        <w:tblPrEx>
          <w:tblCellMar>
            <w:top w:w="0" w:type="dxa"/>
            <w:left w:w="0" w:type="dxa"/>
            <w:bottom w:w="0" w:type="dxa"/>
            <w:right w:w="0" w:type="dxa"/>
          </w:tblCellMar>
        </w:tblPrEx>
        <w:trPr>
          <w:trHeight w:val="955" w:hRule="atLeast"/>
        </w:trPr>
        <w:tc>
          <w:tcPr>
            <w:tcW w:w="13054" w:type="dxa"/>
            <w:gridSpan w:val="5"/>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44"/>
                <w:szCs w:val="44"/>
              </w:rPr>
            </w:pPr>
            <w:r>
              <w:rPr>
                <w:rFonts w:hint="eastAsia" w:ascii="宋体" w:hAnsi="宋体" w:cs="宋体"/>
                <w:color w:val="000000"/>
                <w:kern w:val="0"/>
                <w:sz w:val="44"/>
                <w:szCs w:val="44"/>
              </w:rPr>
              <w:t>一般公共预算财政拨款“三公”经费支出决算表</w:t>
            </w:r>
          </w:p>
        </w:tc>
      </w:tr>
      <w:tr>
        <w:tblPrEx>
          <w:tblCellMar>
            <w:top w:w="0" w:type="dxa"/>
            <w:left w:w="0" w:type="dxa"/>
            <w:bottom w:w="0" w:type="dxa"/>
            <w:right w:w="0" w:type="dxa"/>
          </w:tblCellMar>
        </w:tblPrEx>
        <w:trPr>
          <w:trHeight w:val="545" w:hRule="atLeast"/>
        </w:trPr>
        <w:tc>
          <w:tcPr>
            <w:tcW w:w="13054" w:type="dxa"/>
            <w:gridSpan w:val="5"/>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公开07表</w:t>
            </w:r>
          </w:p>
        </w:tc>
      </w:tr>
      <w:tr>
        <w:tblPrEx>
          <w:tblCellMar>
            <w:top w:w="0" w:type="dxa"/>
            <w:left w:w="0" w:type="dxa"/>
            <w:bottom w:w="0" w:type="dxa"/>
            <w:right w:w="0" w:type="dxa"/>
          </w:tblCellMar>
        </w:tblPrEx>
        <w:trPr>
          <w:trHeight w:val="545" w:hRule="atLeast"/>
        </w:trPr>
        <w:tc>
          <w:tcPr>
            <w:tcW w:w="5293"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公开部门：宁夏银川火车站广场公园管理所</w:t>
            </w:r>
          </w:p>
        </w:tc>
        <w:tc>
          <w:tcPr>
            <w:tcW w:w="8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00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01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tblPrEx>
          <w:tblCellMar>
            <w:top w:w="0" w:type="dxa"/>
            <w:left w:w="0" w:type="dxa"/>
            <w:bottom w:w="0" w:type="dxa"/>
            <w:right w:w="0" w:type="dxa"/>
          </w:tblCellMar>
        </w:tblPrEx>
        <w:trPr>
          <w:trHeight w:val="621" w:hRule="atLeast"/>
        </w:trPr>
        <w:tc>
          <w:tcPr>
            <w:tcW w:w="529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  目</w:t>
            </w:r>
          </w:p>
        </w:tc>
        <w:tc>
          <w:tcPr>
            <w:tcW w:w="870"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行次</w:t>
            </w:r>
          </w:p>
        </w:tc>
        <w:tc>
          <w:tcPr>
            <w:tcW w:w="3009"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2021年度预算数</w:t>
            </w:r>
          </w:p>
        </w:tc>
        <w:tc>
          <w:tcPr>
            <w:tcW w:w="870"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行次</w:t>
            </w:r>
          </w:p>
        </w:tc>
        <w:tc>
          <w:tcPr>
            <w:tcW w:w="3012"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2021年度决算数</w:t>
            </w:r>
          </w:p>
        </w:tc>
      </w:tr>
      <w:tr>
        <w:tblPrEx>
          <w:tblCellMar>
            <w:top w:w="0" w:type="dxa"/>
            <w:left w:w="0" w:type="dxa"/>
            <w:bottom w:w="0" w:type="dxa"/>
            <w:right w:w="0" w:type="dxa"/>
          </w:tblCellMar>
        </w:tblPrEx>
        <w:trPr>
          <w:trHeight w:val="621" w:hRule="atLeast"/>
        </w:trPr>
        <w:tc>
          <w:tcPr>
            <w:tcW w:w="52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“三公”经费支出合计</w:t>
            </w: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3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w:t>
            </w:r>
          </w:p>
        </w:tc>
        <w:tc>
          <w:tcPr>
            <w:tcW w:w="3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r>
      <w:tr>
        <w:tblPrEx>
          <w:tblCellMar>
            <w:top w:w="0" w:type="dxa"/>
            <w:left w:w="0" w:type="dxa"/>
            <w:bottom w:w="0" w:type="dxa"/>
            <w:right w:w="0" w:type="dxa"/>
          </w:tblCellMar>
        </w:tblPrEx>
        <w:trPr>
          <w:trHeight w:val="621" w:hRule="atLeast"/>
        </w:trPr>
        <w:tc>
          <w:tcPr>
            <w:tcW w:w="52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因公出国（境）费</w:t>
            </w: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3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11</w:t>
            </w:r>
          </w:p>
        </w:tc>
        <w:tc>
          <w:tcPr>
            <w:tcW w:w="3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r>
      <w:tr>
        <w:tblPrEx>
          <w:tblCellMar>
            <w:top w:w="0" w:type="dxa"/>
            <w:left w:w="0" w:type="dxa"/>
            <w:bottom w:w="0" w:type="dxa"/>
            <w:right w:w="0" w:type="dxa"/>
          </w:tblCellMar>
        </w:tblPrEx>
        <w:trPr>
          <w:trHeight w:val="621" w:hRule="atLeast"/>
        </w:trPr>
        <w:tc>
          <w:tcPr>
            <w:tcW w:w="52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公务用车购置及运行维护费</w:t>
            </w: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3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ascii="宋体" w:hAnsi="宋体" w:cs="宋体"/>
                <w:color w:val="000000"/>
                <w:sz w:val="22"/>
              </w:rPr>
              <w:t>120,000.00</w:t>
            </w: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12</w:t>
            </w:r>
          </w:p>
        </w:tc>
        <w:tc>
          <w:tcPr>
            <w:tcW w:w="3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ascii="宋体" w:hAnsi="宋体" w:cs="宋体"/>
                <w:color w:val="000000"/>
                <w:sz w:val="22"/>
              </w:rPr>
              <w:t>120,000.00</w:t>
            </w:r>
          </w:p>
        </w:tc>
      </w:tr>
      <w:tr>
        <w:tblPrEx>
          <w:tblCellMar>
            <w:top w:w="0" w:type="dxa"/>
            <w:left w:w="0" w:type="dxa"/>
            <w:bottom w:w="0" w:type="dxa"/>
            <w:right w:w="0" w:type="dxa"/>
          </w:tblCellMar>
        </w:tblPrEx>
        <w:trPr>
          <w:trHeight w:val="621" w:hRule="atLeast"/>
        </w:trPr>
        <w:tc>
          <w:tcPr>
            <w:tcW w:w="52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（1）公务用车购置费</w:t>
            </w: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3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13</w:t>
            </w:r>
          </w:p>
        </w:tc>
        <w:tc>
          <w:tcPr>
            <w:tcW w:w="3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r>
      <w:tr>
        <w:tblPrEx>
          <w:tblCellMar>
            <w:top w:w="0" w:type="dxa"/>
            <w:left w:w="0" w:type="dxa"/>
            <w:bottom w:w="0" w:type="dxa"/>
            <w:right w:w="0" w:type="dxa"/>
          </w:tblCellMar>
        </w:tblPrEx>
        <w:trPr>
          <w:trHeight w:val="621" w:hRule="atLeast"/>
        </w:trPr>
        <w:tc>
          <w:tcPr>
            <w:tcW w:w="52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（2）公务用车运行维护费</w:t>
            </w: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3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ascii="宋体" w:hAnsi="宋体" w:cs="宋体"/>
                <w:color w:val="000000"/>
                <w:sz w:val="22"/>
              </w:rPr>
              <w:t>120,000.00</w:t>
            </w: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14</w:t>
            </w:r>
          </w:p>
        </w:tc>
        <w:tc>
          <w:tcPr>
            <w:tcW w:w="3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r>
              <w:rPr>
                <w:rFonts w:ascii="宋体" w:hAnsi="宋体" w:cs="宋体"/>
                <w:color w:val="000000"/>
                <w:sz w:val="22"/>
              </w:rPr>
              <w:t>120,000.00</w:t>
            </w:r>
          </w:p>
        </w:tc>
      </w:tr>
      <w:tr>
        <w:tblPrEx>
          <w:tblCellMar>
            <w:top w:w="0" w:type="dxa"/>
            <w:left w:w="0" w:type="dxa"/>
            <w:bottom w:w="0" w:type="dxa"/>
            <w:right w:w="0" w:type="dxa"/>
          </w:tblCellMar>
        </w:tblPrEx>
        <w:trPr>
          <w:trHeight w:val="621" w:hRule="atLeast"/>
        </w:trPr>
        <w:tc>
          <w:tcPr>
            <w:tcW w:w="52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公务接待费</w:t>
            </w: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c>
          <w:tcPr>
            <w:tcW w:w="3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w:t>
            </w:r>
          </w:p>
        </w:tc>
        <w:tc>
          <w:tcPr>
            <w:tcW w:w="3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r>
      <w:tr>
        <w:tblPrEx>
          <w:tblCellMar>
            <w:top w:w="0" w:type="dxa"/>
            <w:left w:w="0" w:type="dxa"/>
            <w:bottom w:w="0" w:type="dxa"/>
            <w:right w:w="0" w:type="dxa"/>
          </w:tblCellMar>
        </w:tblPrEx>
        <w:trPr>
          <w:trHeight w:val="621" w:hRule="atLeast"/>
        </w:trPr>
        <w:tc>
          <w:tcPr>
            <w:tcW w:w="52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（1）国内接待费</w:t>
            </w: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w:t>
            </w:r>
          </w:p>
        </w:tc>
        <w:tc>
          <w:tcPr>
            <w:tcW w:w="3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w:t>
            </w:r>
          </w:p>
        </w:tc>
        <w:tc>
          <w:tcPr>
            <w:tcW w:w="3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r>
      <w:tr>
        <w:tblPrEx>
          <w:tblCellMar>
            <w:top w:w="0" w:type="dxa"/>
            <w:left w:w="0" w:type="dxa"/>
            <w:bottom w:w="0" w:type="dxa"/>
            <w:right w:w="0" w:type="dxa"/>
          </w:tblCellMar>
        </w:tblPrEx>
        <w:trPr>
          <w:trHeight w:val="621" w:hRule="atLeast"/>
        </w:trPr>
        <w:tc>
          <w:tcPr>
            <w:tcW w:w="52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其中：外事接待费</w:t>
            </w: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w:t>
            </w:r>
          </w:p>
        </w:tc>
        <w:tc>
          <w:tcPr>
            <w:tcW w:w="3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17</w:t>
            </w:r>
          </w:p>
        </w:tc>
        <w:tc>
          <w:tcPr>
            <w:tcW w:w="3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r>
      <w:tr>
        <w:tblPrEx>
          <w:tblCellMar>
            <w:top w:w="0" w:type="dxa"/>
            <w:left w:w="0" w:type="dxa"/>
            <w:bottom w:w="0" w:type="dxa"/>
            <w:right w:w="0" w:type="dxa"/>
          </w:tblCellMar>
        </w:tblPrEx>
        <w:trPr>
          <w:trHeight w:val="621" w:hRule="atLeast"/>
        </w:trPr>
        <w:tc>
          <w:tcPr>
            <w:tcW w:w="52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（2）国（境）外接待费</w:t>
            </w: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9</w:t>
            </w:r>
          </w:p>
        </w:tc>
        <w:tc>
          <w:tcPr>
            <w:tcW w:w="3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c>
          <w:tcPr>
            <w:tcW w:w="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18</w:t>
            </w:r>
          </w:p>
        </w:tc>
        <w:tc>
          <w:tcPr>
            <w:tcW w:w="3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r>
      <w:tr>
        <w:tblPrEx>
          <w:tblCellMar>
            <w:top w:w="0" w:type="dxa"/>
            <w:left w:w="0" w:type="dxa"/>
            <w:bottom w:w="0" w:type="dxa"/>
            <w:right w:w="0" w:type="dxa"/>
          </w:tblCellMar>
        </w:tblPrEx>
        <w:trPr>
          <w:trHeight w:val="503" w:hRule="atLeast"/>
        </w:trPr>
        <w:tc>
          <w:tcPr>
            <w:tcW w:w="529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00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01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955" w:hRule="atLeast"/>
        </w:trPr>
        <w:tc>
          <w:tcPr>
            <w:tcW w:w="13054" w:type="dxa"/>
            <w:gridSpan w:val="5"/>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注：</w:t>
            </w:r>
            <w:r>
              <w:rPr>
                <w:rStyle w:val="26"/>
                <w:rFonts w:hint="eastAsia"/>
              </w:rPr>
              <w:t>2021年</w:t>
            </w:r>
            <w:r>
              <w:rPr>
                <w:rFonts w:hint="eastAsia" w:ascii="宋体" w:hAnsi="宋体" w:cs="宋体"/>
                <w:color w:val="000000"/>
                <w:kern w:val="0"/>
                <w:sz w:val="20"/>
                <w:szCs w:val="20"/>
              </w:rPr>
              <w:t>度预算数为</w:t>
            </w:r>
            <w:r>
              <w:rPr>
                <w:rStyle w:val="26"/>
              </w:rPr>
              <w:t>“</w:t>
            </w:r>
            <w:r>
              <w:rPr>
                <w:rFonts w:hint="eastAsia" w:ascii="宋体" w:hAnsi="宋体" w:cs="宋体"/>
                <w:color w:val="000000"/>
                <w:kern w:val="0"/>
                <w:sz w:val="20"/>
                <w:szCs w:val="20"/>
              </w:rPr>
              <w:t>三公</w:t>
            </w:r>
            <w:r>
              <w:rPr>
                <w:rStyle w:val="26"/>
              </w:rPr>
              <w:t>”</w:t>
            </w:r>
            <w:r>
              <w:rPr>
                <w:rFonts w:hint="eastAsia" w:ascii="宋体" w:hAnsi="宋体" w:cs="宋体"/>
                <w:color w:val="000000"/>
                <w:kern w:val="0"/>
                <w:sz w:val="20"/>
                <w:szCs w:val="20"/>
              </w:rPr>
              <w:t>经费全年预算数，反映按规定程序调整后的预算数；决算数是包括当年一般公共预算财政拨款和以前年度结转结余资金安排的实际支出。决算数据取自</w:t>
            </w:r>
            <w:r>
              <w:rPr>
                <w:rStyle w:val="26"/>
              </w:rPr>
              <w:t>F03</w:t>
            </w:r>
            <w:r>
              <w:rPr>
                <w:rFonts w:hint="eastAsia" w:ascii="宋体" w:hAnsi="宋体" w:cs="宋体"/>
                <w:color w:val="000000"/>
                <w:kern w:val="0"/>
                <w:sz w:val="20"/>
                <w:szCs w:val="20"/>
              </w:rPr>
              <w:t>表</w:t>
            </w:r>
          </w:p>
        </w:tc>
      </w:tr>
    </w:tbl>
    <w:p>
      <w:pPr>
        <w:widowControl/>
        <w:jc w:val="left"/>
        <w:rPr>
          <w:rFonts w:eastAsia="黑体"/>
          <w:b/>
          <w:bCs/>
          <w:color w:val="000000"/>
          <w:kern w:val="0"/>
          <w:sz w:val="40"/>
          <w:szCs w:val="40"/>
        </w:rPr>
      </w:pPr>
      <w:r>
        <w:rPr>
          <w:rFonts w:eastAsia="黑体"/>
          <w:b/>
          <w:bCs/>
          <w:color w:val="000000"/>
          <w:kern w:val="0"/>
          <w:sz w:val="40"/>
          <w:szCs w:val="40"/>
        </w:rPr>
        <w:br w:type="page"/>
      </w:r>
    </w:p>
    <w:tbl>
      <w:tblPr>
        <w:tblStyle w:val="9"/>
        <w:tblpPr w:leftFromText="180" w:rightFromText="180" w:vertAnchor="text" w:tblpY="1"/>
        <w:tblOverlap w:val="never"/>
        <w:tblW w:w="15074" w:type="dxa"/>
        <w:tblInd w:w="0" w:type="dxa"/>
        <w:tblLayout w:type="fixed"/>
        <w:tblCellMar>
          <w:top w:w="0" w:type="dxa"/>
          <w:left w:w="0" w:type="dxa"/>
          <w:bottom w:w="0" w:type="dxa"/>
          <w:right w:w="0" w:type="dxa"/>
        </w:tblCellMar>
      </w:tblPr>
      <w:tblGrid>
        <w:gridCol w:w="285"/>
        <w:gridCol w:w="286"/>
        <w:gridCol w:w="286"/>
        <w:gridCol w:w="2882"/>
        <w:gridCol w:w="1033"/>
        <w:gridCol w:w="1948"/>
        <w:gridCol w:w="1932"/>
        <w:gridCol w:w="1962"/>
        <w:gridCol w:w="2089"/>
        <w:gridCol w:w="2371"/>
      </w:tblGrid>
      <w:tr>
        <w:tblPrEx>
          <w:tblCellMar>
            <w:top w:w="0" w:type="dxa"/>
            <w:left w:w="0" w:type="dxa"/>
            <w:bottom w:w="0" w:type="dxa"/>
            <w:right w:w="0" w:type="dxa"/>
          </w:tblCellMar>
        </w:tblPrEx>
        <w:trPr>
          <w:trHeight w:val="999" w:hRule="atLeast"/>
        </w:trPr>
        <w:tc>
          <w:tcPr>
            <w:tcW w:w="15074" w:type="dxa"/>
            <w:gridSpan w:val="10"/>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44"/>
                <w:szCs w:val="44"/>
              </w:rPr>
            </w:pPr>
            <w:r>
              <w:rPr>
                <w:rFonts w:hint="eastAsia" w:ascii="宋体" w:hAnsi="宋体" w:cs="宋体"/>
                <w:color w:val="000000"/>
                <w:kern w:val="0"/>
                <w:sz w:val="44"/>
                <w:szCs w:val="44"/>
              </w:rPr>
              <w:t>政府性基金预算财政拨款收入支出决算表</w:t>
            </w:r>
          </w:p>
        </w:tc>
      </w:tr>
      <w:tr>
        <w:tblPrEx>
          <w:tblCellMar>
            <w:top w:w="0" w:type="dxa"/>
            <w:left w:w="0" w:type="dxa"/>
            <w:bottom w:w="0" w:type="dxa"/>
            <w:right w:w="0" w:type="dxa"/>
          </w:tblCellMar>
        </w:tblPrEx>
        <w:trPr>
          <w:trHeight w:val="510" w:hRule="atLeast"/>
        </w:trPr>
        <w:tc>
          <w:tcPr>
            <w:tcW w:w="15074" w:type="dxa"/>
            <w:gridSpan w:val="10"/>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s="宋体"/>
                <w:color w:val="000000"/>
                <w:sz w:val="24"/>
              </w:rPr>
            </w:pPr>
            <w:r>
              <w:rPr>
                <w:rFonts w:hint="eastAsia" w:ascii="宋体" w:hAnsi="宋体" w:cs="宋体"/>
                <w:color w:val="000000"/>
                <w:kern w:val="0"/>
                <w:sz w:val="24"/>
              </w:rPr>
              <w:t>公开08表</w:t>
            </w:r>
          </w:p>
        </w:tc>
      </w:tr>
      <w:tr>
        <w:tblPrEx>
          <w:tblCellMar>
            <w:top w:w="0" w:type="dxa"/>
            <w:left w:w="0" w:type="dxa"/>
            <w:bottom w:w="0" w:type="dxa"/>
            <w:right w:w="0" w:type="dxa"/>
          </w:tblCellMar>
        </w:tblPrEx>
        <w:trPr>
          <w:trHeight w:val="510" w:hRule="atLeast"/>
        </w:trPr>
        <w:tc>
          <w:tcPr>
            <w:tcW w:w="8652" w:type="dxa"/>
            <w:gridSpan w:val="7"/>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cs="宋体"/>
                <w:color w:val="000000"/>
                <w:sz w:val="24"/>
              </w:rPr>
            </w:pPr>
            <w:r>
              <w:rPr>
                <w:rFonts w:hint="eastAsia" w:ascii="宋体" w:hAnsi="宋体" w:cs="宋体"/>
                <w:color w:val="000000"/>
                <w:kern w:val="0"/>
                <w:sz w:val="24"/>
              </w:rPr>
              <w:t>公开部门：</w:t>
            </w:r>
          </w:p>
        </w:tc>
        <w:tc>
          <w:tcPr>
            <w:tcW w:w="196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8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37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s="宋体"/>
                <w:color w:val="000000"/>
                <w:sz w:val="24"/>
              </w:rPr>
            </w:pPr>
            <w:r>
              <w:rPr>
                <w:rFonts w:hint="eastAsia" w:ascii="宋体" w:hAnsi="宋体" w:cs="宋体"/>
                <w:color w:val="000000"/>
                <w:kern w:val="0"/>
                <w:sz w:val="24"/>
              </w:rPr>
              <w:t>金额单位：元</w:t>
            </w:r>
          </w:p>
        </w:tc>
      </w:tr>
      <w:tr>
        <w:tblPrEx>
          <w:tblCellMar>
            <w:top w:w="0" w:type="dxa"/>
            <w:left w:w="0" w:type="dxa"/>
            <w:bottom w:w="0" w:type="dxa"/>
            <w:right w:w="0" w:type="dxa"/>
          </w:tblCellMar>
        </w:tblPrEx>
        <w:trPr>
          <w:trHeight w:val="525" w:hRule="atLeast"/>
        </w:trPr>
        <w:tc>
          <w:tcPr>
            <w:tcW w:w="3739" w:type="dxa"/>
            <w:gridSpan w:val="4"/>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w:t>
            </w:r>
          </w:p>
        </w:tc>
        <w:tc>
          <w:tcPr>
            <w:tcW w:w="103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年初结转和结余</w:t>
            </w:r>
          </w:p>
        </w:tc>
        <w:tc>
          <w:tcPr>
            <w:tcW w:w="1948" w:type="dxa"/>
            <w:vMerge w:val="restart"/>
            <w:tcBorders>
              <w:top w:val="single" w:color="000000" w:sz="4" w:space="0"/>
              <w:left w:val="nil"/>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本年收入</w:t>
            </w:r>
          </w:p>
        </w:tc>
        <w:tc>
          <w:tcPr>
            <w:tcW w:w="5983"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本年支出</w:t>
            </w:r>
          </w:p>
        </w:tc>
        <w:tc>
          <w:tcPr>
            <w:tcW w:w="237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年末结转和结余</w:t>
            </w:r>
          </w:p>
        </w:tc>
      </w:tr>
      <w:tr>
        <w:tblPrEx>
          <w:tblCellMar>
            <w:top w:w="0" w:type="dxa"/>
            <w:left w:w="0" w:type="dxa"/>
            <w:bottom w:w="0" w:type="dxa"/>
            <w:right w:w="0" w:type="dxa"/>
          </w:tblCellMar>
        </w:tblPrEx>
        <w:trPr>
          <w:trHeight w:val="512" w:hRule="atLeast"/>
        </w:trPr>
        <w:tc>
          <w:tcPr>
            <w:tcW w:w="857"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支出功能分类科目编码</w:t>
            </w:r>
          </w:p>
        </w:tc>
        <w:tc>
          <w:tcPr>
            <w:tcW w:w="288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科目名称</w:t>
            </w:r>
          </w:p>
        </w:tc>
        <w:tc>
          <w:tcPr>
            <w:tcW w:w="103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948" w:type="dxa"/>
            <w:vMerge w:val="continue"/>
            <w:tcBorders>
              <w:left w:val="nil"/>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193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小计</w:t>
            </w:r>
          </w:p>
        </w:tc>
        <w:tc>
          <w:tcPr>
            <w:tcW w:w="196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基本支出</w:t>
            </w:r>
          </w:p>
        </w:tc>
        <w:tc>
          <w:tcPr>
            <w:tcW w:w="208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项目支出</w:t>
            </w:r>
          </w:p>
        </w:tc>
        <w:tc>
          <w:tcPr>
            <w:tcW w:w="237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525" w:hRule="atLeast"/>
        </w:trPr>
        <w:tc>
          <w:tcPr>
            <w:tcW w:w="28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类</w:t>
            </w:r>
          </w:p>
        </w:tc>
        <w:tc>
          <w:tcPr>
            <w:tcW w:w="28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款</w:t>
            </w:r>
          </w:p>
        </w:tc>
        <w:tc>
          <w:tcPr>
            <w:tcW w:w="28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w:t>
            </w:r>
          </w:p>
        </w:tc>
        <w:tc>
          <w:tcPr>
            <w:tcW w:w="288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103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94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193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196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208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237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r>
      <w:tr>
        <w:tblPrEx>
          <w:tblCellMar>
            <w:top w:w="0" w:type="dxa"/>
            <w:left w:w="0" w:type="dxa"/>
            <w:bottom w:w="0" w:type="dxa"/>
            <w:right w:w="0" w:type="dxa"/>
          </w:tblCellMar>
        </w:tblPrEx>
        <w:trPr>
          <w:trHeight w:val="525" w:hRule="atLeast"/>
        </w:trPr>
        <w:tc>
          <w:tcPr>
            <w:tcW w:w="28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28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28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rPr>
            </w:pPr>
          </w:p>
        </w:tc>
        <w:tc>
          <w:tcPr>
            <w:tcW w:w="288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c>
          <w:tcPr>
            <w:tcW w:w="1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c>
          <w:tcPr>
            <w:tcW w:w="1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c>
          <w:tcPr>
            <w:tcW w:w="2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r>
      <w:tr>
        <w:tblPrEx>
          <w:tblCellMar>
            <w:top w:w="0" w:type="dxa"/>
            <w:left w:w="0" w:type="dxa"/>
            <w:bottom w:w="0" w:type="dxa"/>
            <w:right w:w="0" w:type="dxa"/>
          </w:tblCellMar>
        </w:tblPrEx>
        <w:trPr>
          <w:trHeight w:val="341"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p>
        </w:tc>
        <w:tc>
          <w:tcPr>
            <w:tcW w:w="2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c>
          <w:tcPr>
            <w:tcW w:w="1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c>
          <w:tcPr>
            <w:tcW w:w="1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c>
          <w:tcPr>
            <w:tcW w:w="2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r>
      <w:tr>
        <w:tblPrEx>
          <w:tblCellMar>
            <w:top w:w="0" w:type="dxa"/>
            <w:left w:w="0" w:type="dxa"/>
            <w:bottom w:w="0" w:type="dxa"/>
            <w:right w:w="0" w:type="dxa"/>
          </w:tblCellMar>
        </w:tblPrEx>
        <w:trPr>
          <w:trHeight w:val="341"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p>
        </w:tc>
        <w:tc>
          <w:tcPr>
            <w:tcW w:w="2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c>
          <w:tcPr>
            <w:tcW w:w="1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c>
          <w:tcPr>
            <w:tcW w:w="1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c>
          <w:tcPr>
            <w:tcW w:w="2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r>
      <w:tr>
        <w:tblPrEx>
          <w:tblCellMar>
            <w:top w:w="0" w:type="dxa"/>
            <w:left w:w="0" w:type="dxa"/>
            <w:bottom w:w="0" w:type="dxa"/>
            <w:right w:w="0" w:type="dxa"/>
          </w:tblCellMar>
        </w:tblPrEx>
        <w:trPr>
          <w:trHeight w:val="341"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p>
        </w:tc>
        <w:tc>
          <w:tcPr>
            <w:tcW w:w="2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rPr>
            </w:pP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c>
          <w:tcPr>
            <w:tcW w:w="1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c>
          <w:tcPr>
            <w:tcW w:w="1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c>
          <w:tcPr>
            <w:tcW w:w="2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2"/>
              </w:rPr>
            </w:pPr>
          </w:p>
        </w:tc>
      </w:tr>
      <w:tr>
        <w:tblPrEx>
          <w:tblCellMar>
            <w:top w:w="0" w:type="dxa"/>
            <w:left w:w="0" w:type="dxa"/>
            <w:bottom w:w="0" w:type="dxa"/>
            <w:right w:w="0" w:type="dxa"/>
          </w:tblCellMar>
        </w:tblPrEx>
        <w:trPr>
          <w:trHeight w:val="341"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rPr>
            </w:pPr>
          </w:p>
        </w:tc>
        <w:tc>
          <w:tcPr>
            <w:tcW w:w="2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rPr>
            </w:pP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r>
      <w:tr>
        <w:tblPrEx>
          <w:tblCellMar>
            <w:top w:w="0" w:type="dxa"/>
            <w:left w:w="0" w:type="dxa"/>
            <w:bottom w:w="0" w:type="dxa"/>
            <w:right w:w="0" w:type="dxa"/>
          </w:tblCellMar>
        </w:tblPrEx>
        <w:trPr>
          <w:trHeight w:val="341"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rPr>
            </w:pPr>
          </w:p>
        </w:tc>
        <w:tc>
          <w:tcPr>
            <w:tcW w:w="2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rPr>
            </w:pP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r>
      <w:tr>
        <w:tblPrEx>
          <w:tblCellMar>
            <w:top w:w="0" w:type="dxa"/>
            <w:left w:w="0" w:type="dxa"/>
            <w:bottom w:w="0" w:type="dxa"/>
            <w:right w:w="0" w:type="dxa"/>
          </w:tblCellMar>
        </w:tblPrEx>
        <w:trPr>
          <w:trHeight w:val="341"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rPr>
            </w:pPr>
          </w:p>
        </w:tc>
        <w:tc>
          <w:tcPr>
            <w:tcW w:w="2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rPr>
            </w:pP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r>
      <w:tr>
        <w:tblPrEx>
          <w:tblCellMar>
            <w:top w:w="0" w:type="dxa"/>
            <w:left w:w="0" w:type="dxa"/>
            <w:bottom w:w="0" w:type="dxa"/>
            <w:right w:w="0" w:type="dxa"/>
          </w:tblCellMar>
        </w:tblPrEx>
        <w:trPr>
          <w:trHeight w:val="341"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rPr>
            </w:pPr>
          </w:p>
        </w:tc>
        <w:tc>
          <w:tcPr>
            <w:tcW w:w="2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rPr>
            </w:pP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r>
      <w:tr>
        <w:tblPrEx>
          <w:tblCellMar>
            <w:top w:w="0" w:type="dxa"/>
            <w:left w:w="0" w:type="dxa"/>
            <w:bottom w:w="0" w:type="dxa"/>
            <w:right w:w="0" w:type="dxa"/>
          </w:tblCellMar>
        </w:tblPrEx>
        <w:trPr>
          <w:trHeight w:val="341"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rPr>
            </w:pPr>
          </w:p>
        </w:tc>
        <w:tc>
          <w:tcPr>
            <w:tcW w:w="2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rPr>
            </w:pP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r>
      <w:tr>
        <w:tblPrEx>
          <w:tblCellMar>
            <w:top w:w="0" w:type="dxa"/>
            <w:left w:w="0" w:type="dxa"/>
            <w:bottom w:w="0" w:type="dxa"/>
            <w:right w:w="0" w:type="dxa"/>
          </w:tblCellMar>
        </w:tblPrEx>
        <w:trPr>
          <w:trHeight w:val="341"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rPr>
            </w:pPr>
          </w:p>
        </w:tc>
        <w:tc>
          <w:tcPr>
            <w:tcW w:w="2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rPr>
            </w:pP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r>
      <w:tr>
        <w:tblPrEx>
          <w:tblCellMar>
            <w:top w:w="0" w:type="dxa"/>
            <w:left w:w="0" w:type="dxa"/>
            <w:bottom w:w="0" w:type="dxa"/>
            <w:right w:w="0" w:type="dxa"/>
          </w:tblCellMar>
        </w:tblPrEx>
        <w:trPr>
          <w:trHeight w:val="341"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rPr>
            </w:pPr>
          </w:p>
        </w:tc>
        <w:tc>
          <w:tcPr>
            <w:tcW w:w="2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rPr>
            </w:pP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r>
      <w:tr>
        <w:tblPrEx>
          <w:tblCellMar>
            <w:top w:w="0" w:type="dxa"/>
            <w:left w:w="0" w:type="dxa"/>
            <w:bottom w:w="0" w:type="dxa"/>
            <w:right w:w="0" w:type="dxa"/>
          </w:tblCellMar>
        </w:tblPrEx>
        <w:trPr>
          <w:trHeight w:val="341"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rPr>
            </w:pPr>
          </w:p>
        </w:tc>
        <w:tc>
          <w:tcPr>
            <w:tcW w:w="2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rPr>
            </w:pP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r>
      <w:tr>
        <w:tblPrEx>
          <w:tblCellMar>
            <w:top w:w="0" w:type="dxa"/>
            <w:left w:w="0" w:type="dxa"/>
            <w:bottom w:w="0" w:type="dxa"/>
            <w:right w:w="0" w:type="dxa"/>
          </w:tblCellMar>
        </w:tblPrEx>
        <w:trPr>
          <w:trHeight w:val="341"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rPr>
            </w:pPr>
          </w:p>
        </w:tc>
        <w:tc>
          <w:tcPr>
            <w:tcW w:w="2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rPr>
            </w:pP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r>
      <w:tr>
        <w:tblPrEx>
          <w:tblCellMar>
            <w:top w:w="0" w:type="dxa"/>
            <w:left w:w="0" w:type="dxa"/>
            <w:bottom w:w="0" w:type="dxa"/>
            <w:right w:w="0" w:type="dxa"/>
          </w:tblCellMar>
        </w:tblPrEx>
        <w:trPr>
          <w:trHeight w:val="341"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rPr>
            </w:pPr>
          </w:p>
        </w:tc>
        <w:tc>
          <w:tcPr>
            <w:tcW w:w="2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rPr>
            </w:pP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r>
      <w:tr>
        <w:tblPrEx>
          <w:tblCellMar>
            <w:top w:w="0" w:type="dxa"/>
            <w:left w:w="0" w:type="dxa"/>
            <w:bottom w:w="0" w:type="dxa"/>
            <w:right w:w="0" w:type="dxa"/>
          </w:tblCellMar>
        </w:tblPrEx>
        <w:trPr>
          <w:trHeight w:val="341" w:hRule="atLeast"/>
        </w:trPr>
        <w:tc>
          <w:tcPr>
            <w:tcW w:w="85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rPr>
            </w:pPr>
          </w:p>
        </w:tc>
        <w:tc>
          <w:tcPr>
            <w:tcW w:w="28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rPr>
            </w:pPr>
          </w:p>
        </w:tc>
        <w:tc>
          <w:tcPr>
            <w:tcW w:w="103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4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3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0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3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r>
      <w:tr>
        <w:tblPrEx>
          <w:tblCellMar>
            <w:top w:w="0" w:type="dxa"/>
            <w:left w:w="0" w:type="dxa"/>
            <w:bottom w:w="0" w:type="dxa"/>
            <w:right w:w="0" w:type="dxa"/>
          </w:tblCellMar>
        </w:tblPrEx>
        <w:trPr>
          <w:trHeight w:val="341" w:hRule="atLeast"/>
        </w:trPr>
        <w:tc>
          <w:tcPr>
            <w:tcW w:w="85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rPr>
            </w:pPr>
          </w:p>
        </w:tc>
        <w:tc>
          <w:tcPr>
            <w:tcW w:w="28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rPr>
            </w:pPr>
          </w:p>
        </w:tc>
        <w:tc>
          <w:tcPr>
            <w:tcW w:w="103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4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3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19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0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c>
          <w:tcPr>
            <w:tcW w:w="23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2"/>
              </w:rPr>
            </w:pPr>
          </w:p>
        </w:tc>
      </w:tr>
      <w:tr>
        <w:tblPrEx>
          <w:tblCellMar>
            <w:top w:w="0" w:type="dxa"/>
            <w:left w:w="0" w:type="dxa"/>
            <w:bottom w:w="0" w:type="dxa"/>
            <w:right w:w="0" w:type="dxa"/>
          </w:tblCellMar>
        </w:tblPrEx>
        <w:trPr>
          <w:trHeight w:val="341" w:hRule="atLeast"/>
        </w:trPr>
        <w:tc>
          <w:tcPr>
            <w:tcW w:w="15074" w:type="dxa"/>
            <w:gridSpan w:val="10"/>
            <w:tcBorders>
              <w:top w:val="single" w:color="000000" w:sz="4" w:space="0"/>
            </w:tcBorders>
            <w:shd w:val="clear" w:color="auto" w:fill="auto"/>
            <w:noWrap/>
            <w:tcMar>
              <w:top w:w="15" w:type="dxa"/>
              <w:left w:w="15" w:type="dxa"/>
              <w:right w:w="15" w:type="dxa"/>
            </w:tcMar>
            <w:vAlign w:val="center"/>
          </w:tcPr>
          <w:p>
            <w:pPr>
              <w:ind w:right="480"/>
              <w:rPr>
                <w:rFonts w:ascii="宋体" w:hAnsi="宋体" w:cs="宋体"/>
                <w:color w:val="000000"/>
                <w:sz w:val="22"/>
              </w:rPr>
            </w:pPr>
            <w:r>
              <w:rPr>
                <w:rFonts w:hint="eastAsia" w:ascii="宋体" w:hAnsi="宋体" w:cs="宋体"/>
                <w:color w:val="000000"/>
                <w:kern w:val="0"/>
                <w:sz w:val="24"/>
              </w:rPr>
              <w:t>注：本表反映部门本年度政府性基金预算财政拨款收入支出及结转结余情况，数据取自财决09表</w:t>
            </w:r>
          </w:p>
        </w:tc>
      </w:tr>
    </w:tbl>
    <w:p>
      <w:pPr>
        <w:ind w:firstLine="420" w:firstLineChars="200"/>
      </w:pPr>
    </w:p>
    <w:p/>
    <w:tbl>
      <w:tblPr>
        <w:tblStyle w:val="9"/>
        <w:tblpPr w:leftFromText="180" w:rightFromText="180" w:vertAnchor="text" w:horzAnchor="margin" w:tblpY="573"/>
        <w:tblOverlap w:val="never"/>
        <w:tblW w:w="15180" w:type="dxa"/>
        <w:tblInd w:w="0" w:type="dxa"/>
        <w:tblLayout w:type="fixed"/>
        <w:tblCellMar>
          <w:top w:w="0" w:type="dxa"/>
          <w:left w:w="108" w:type="dxa"/>
          <w:bottom w:w="0" w:type="dxa"/>
          <w:right w:w="108" w:type="dxa"/>
        </w:tblCellMar>
      </w:tblPr>
      <w:tblGrid>
        <w:gridCol w:w="492"/>
        <w:gridCol w:w="492"/>
        <w:gridCol w:w="492"/>
        <w:gridCol w:w="4824"/>
        <w:gridCol w:w="2843"/>
        <w:gridCol w:w="3058"/>
        <w:gridCol w:w="2979"/>
      </w:tblGrid>
      <w:tr>
        <w:tblPrEx>
          <w:tblCellMar>
            <w:top w:w="0" w:type="dxa"/>
            <w:left w:w="108" w:type="dxa"/>
            <w:bottom w:w="0" w:type="dxa"/>
            <w:right w:w="108" w:type="dxa"/>
          </w:tblCellMar>
        </w:tblPrEx>
        <w:trPr>
          <w:trHeight w:val="305" w:hRule="atLeast"/>
        </w:trPr>
        <w:tc>
          <w:tcPr>
            <w:tcW w:w="15180" w:type="dxa"/>
            <w:gridSpan w:val="7"/>
            <w:vAlign w:val="bottom"/>
          </w:tcPr>
          <w:p>
            <w:pPr>
              <w:widowControl/>
              <w:jc w:val="center"/>
              <w:rPr>
                <w:color w:val="000000"/>
                <w:kern w:val="0"/>
                <w:sz w:val="44"/>
                <w:szCs w:val="44"/>
              </w:rPr>
            </w:pPr>
            <w:r>
              <w:rPr>
                <w:rFonts w:hint="eastAsia"/>
                <w:b/>
                <w:bCs/>
                <w:color w:val="000000"/>
                <w:kern w:val="0"/>
                <w:sz w:val="36"/>
                <w:szCs w:val="36"/>
              </w:rPr>
              <w:t>国有资本经营预算财政拨款支出决算表</w:t>
            </w:r>
          </w:p>
        </w:tc>
      </w:tr>
      <w:tr>
        <w:tblPrEx>
          <w:tblCellMar>
            <w:top w:w="0" w:type="dxa"/>
            <w:left w:w="108" w:type="dxa"/>
            <w:bottom w:w="0" w:type="dxa"/>
            <w:right w:w="108" w:type="dxa"/>
          </w:tblCellMar>
        </w:tblPrEx>
        <w:trPr>
          <w:trHeight w:val="305" w:hRule="atLeast"/>
        </w:trPr>
        <w:tc>
          <w:tcPr>
            <w:tcW w:w="15180" w:type="dxa"/>
            <w:gridSpan w:val="7"/>
            <w:vAlign w:val="bottom"/>
          </w:tcPr>
          <w:p>
            <w:pPr>
              <w:widowControl/>
              <w:jc w:val="right"/>
              <w:rPr>
                <w:color w:val="000000"/>
                <w:kern w:val="0"/>
                <w:sz w:val="24"/>
              </w:rPr>
            </w:pPr>
            <w:r>
              <w:rPr>
                <w:rFonts w:hint="eastAsia"/>
                <w:color w:val="000000"/>
                <w:kern w:val="0"/>
                <w:sz w:val="24"/>
              </w:rPr>
              <w:t>公开</w:t>
            </w:r>
            <w:r>
              <w:rPr>
                <w:color w:val="000000"/>
                <w:kern w:val="0"/>
                <w:sz w:val="24"/>
              </w:rPr>
              <w:t>0</w:t>
            </w:r>
            <w:r>
              <w:rPr>
                <w:rFonts w:hint="eastAsia"/>
                <w:color w:val="000000"/>
                <w:kern w:val="0"/>
                <w:sz w:val="24"/>
              </w:rPr>
              <w:t>9表</w:t>
            </w:r>
          </w:p>
        </w:tc>
      </w:tr>
      <w:tr>
        <w:tblPrEx>
          <w:tblCellMar>
            <w:top w:w="0" w:type="dxa"/>
            <w:left w:w="108" w:type="dxa"/>
            <w:bottom w:w="0" w:type="dxa"/>
            <w:right w:w="108" w:type="dxa"/>
          </w:tblCellMar>
        </w:tblPrEx>
        <w:trPr>
          <w:trHeight w:val="305" w:hRule="atLeast"/>
        </w:trPr>
        <w:tc>
          <w:tcPr>
            <w:tcW w:w="6300" w:type="dxa"/>
            <w:gridSpan w:val="4"/>
            <w:vAlign w:val="bottom"/>
          </w:tcPr>
          <w:p>
            <w:pPr>
              <w:widowControl/>
              <w:jc w:val="left"/>
              <w:rPr>
                <w:color w:val="000000"/>
                <w:kern w:val="0"/>
                <w:sz w:val="24"/>
              </w:rPr>
            </w:pPr>
            <w:r>
              <w:rPr>
                <w:rFonts w:hint="eastAsia"/>
                <w:color w:val="000000"/>
                <w:kern w:val="0"/>
                <w:sz w:val="24"/>
              </w:rPr>
              <w:t>公开部门：</w:t>
            </w:r>
          </w:p>
        </w:tc>
        <w:tc>
          <w:tcPr>
            <w:tcW w:w="2843" w:type="dxa"/>
            <w:vAlign w:val="bottom"/>
          </w:tcPr>
          <w:p>
            <w:pPr>
              <w:widowControl/>
              <w:jc w:val="left"/>
              <w:rPr>
                <w:color w:val="000000"/>
                <w:kern w:val="0"/>
                <w:sz w:val="20"/>
              </w:rPr>
            </w:pPr>
          </w:p>
        </w:tc>
        <w:tc>
          <w:tcPr>
            <w:tcW w:w="3058" w:type="dxa"/>
            <w:vAlign w:val="bottom"/>
          </w:tcPr>
          <w:p>
            <w:pPr>
              <w:widowControl/>
              <w:jc w:val="center"/>
              <w:rPr>
                <w:color w:val="000000"/>
                <w:kern w:val="0"/>
                <w:sz w:val="24"/>
              </w:rPr>
            </w:pPr>
          </w:p>
        </w:tc>
        <w:tc>
          <w:tcPr>
            <w:tcW w:w="2979" w:type="dxa"/>
            <w:vAlign w:val="bottom"/>
          </w:tcPr>
          <w:p>
            <w:pPr>
              <w:widowControl/>
              <w:jc w:val="right"/>
              <w:rPr>
                <w:color w:val="000000"/>
                <w:kern w:val="0"/>
                <w:sz w:val="24"/>
              </w:rPr>
            </w:pPr>
            <w:r>
              <w:rPr>
                <w:rFonts w:hint="eastAsia"/>
                <w:color w:val="000000"/>
                <w:kern w:val="0"/>
                <w:sz w:val="24"/>
              </w:rPr>
              <w:t>金额单位：元</w:t>
            </w:r>
          </w:p>
        </w:tc>
      </w:tr>
      <w:tr>
        <w:tblPrEx>
          <w:tblCellMar>
            <w:top w:w="0" w:type="dxa"/>
            <w:left w:w="108" w:type="dxa"/>
            <w:bottom w:w="0" w:type="dxa"/>
            <w:right w:w="108" w:type="dxa"/>
          </w:tblCellMar>
        </w:tblPrEx>
        <w:trPr>
          <w:trHeight w:val="305" w:hRule="atLeast"/>
        </w:trPr>
        <w:tc>
          <w:tcPr>
            <w:tcW w:w="6300"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项目</w:t>
            </w:r>
          </w:p>
        </w:tc>
        <w:tc>
          <w:tcPr>
            <w:tcW w:w="2843" w:type="dxa"/>
            <w:vMerge w:val="restart"/>
            <w:tcBorders>
              <w:top w:val="single" w:color="000000" w:sz="8" w:space="0"/>
              <w:left w:val="nil"/>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本年支出合计</w:t>
            </w:r>
          </w:p>
        </w:tc>
        <w:tc>
          <w:tcPr>
            <w:tcW w:w="3058" w:type="dxa"/>
            <w:vMerge w:val="restart"/>
            <w:tcBorders>
              <w:top w:val="single" w:color="000000" w:sz="8" w:space="0"/>
              <w:left w:val="nil"/>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基本支出</w:t>
            </w:r>
          </w:p>
        </w:tc>
        <w:tc>
          <w:tcPr>
            <w:tcW w:w="2979" w:type="dxa"/>
            <w:vMerge w:val="restart"/>
            <w:tcBorders>
              <w:top w:val="single" w:color="000000" w:sz="8" w:space="0"/>
              <w:left w:val="nil"/>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项目支出</w:t>
            </w:r>
          </w:p>
        </w:tc>
      </w:tr>
      <w:tr>
        <w:tblPrEx>
          <w:tblCellMar>
            <w:top w:w="0" w:type="dxa"/>
            <w:left w:w="108" w:type="dxa"/>
            <w:bottom w:w="0" w:type="dxa"/>
            <w:right w:w="108" w:type="dxa"/>
          </w:tblCellMar>
        </w:tblPrEx>
        <w:trPr>
          <w:trHeight w:val="335" w:hRule="atLeast"/>
        </w:trPr>
        <w:tc>
          <w:tcPr>
            <w:tcW w:w="1476"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功能分类科目编码</w:t>
            </w:r>
          </w:p>
        </w:tc>
        <w:tc>
          <w:tcPr>
            <w:tcW w:w="4824" w:type="dxa"/>
            <w:vMerge w:val="restart"/>
            <w:tcBorders>
              <w:top w:val="nil"/>
              <w:left w:val="nil"/>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科目名称</w:t>
            </w:r>
          </w:p>
        </w:tc>
        <w:tc>
          <w:tcPr>
            <w:tcW w:w="2843"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c>
          <w:tcPr>
            <w:tcW w:w="3058"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c>
          <w:tcPr>
            <w:tcW w:w="2979"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r>
      <w:tr>
        <w:tblPrEx>
          <w:tblCellMar>
            <w:top w:w="0" w:type="dxa"/>
            <w:left w:w="108" w:type="dxa"/>
            <w:bottom w:w="0" w:type="dxa"/>
            <w:right w:w="108" w:type="dxa"/>
          </w:tblCellMar>
        </w:tblPrEx>
        <w:trPr>
          <w:trHeight w:val="335" w:hRule="atLeast"/>
        </w:trPr>
        <w:tc>
          <w:tcPr>
            <w:tcW w:w="1476"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vMerge w:val="continue"/>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c>
          <w:tcPr>
            <w:tcW w:w="3058"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c>
          <w:tcPr>
            <w:tcW w:w="2979"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r>
      <w:tr>
        <w:tblPrEx>
          <w:tblCellMar>
            <w:top w:w="0" w:type="dxa"/>
            <w:left w:w="108" w:type="dxa"/>
            <w:bottom w:w="0" w:type="dxa"/>
            <w:right w:w="108" w:type="dxa"/>
          </w:tblCellMar>
        </w:tblPrEx>
        <w:trPr>
          <w:trHeight w:val="335" w:hRule="atLeast"/>
        </w:trPr>
        <w:tc>
          <w:tcPr>
            <w:tcW w:w="1476"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vMerge w:val="continue"/>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c>
          <w:tcPr>
            <w:tcW w:w="3058"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c>
          <w:tcPr>
            <w:tcW w:w="2979" w:type="dxa"/>
            <w:vMerge w:val="continue"/>
            <w:tcBorders>
              <w:top w:val="single" w:color="000000" w:sz="8" w:space="0"/>
              <w:left w:val="nil"/>
              <w:bottom w:val="single" w:color="000000" w:sz="4" w:space="0"/>
              <w:right w:val="single" w:color="000000" w:sz="4" w:space="0"/>
            </w:tcBorders>
            <w:vAlign w:val="center"/>
          </w:tcPr>
          <w:p>
            <w:pPr>
              <w:widowControl/>
              <w:jc w:val="left"/>
              <w:rPr>
                <w:color w:val="000000"/>
                <w:kern w:val="0"/>
                <w:sz w:val="22"/>
              </w:rPr>
            </w:pPr>
          </w:p>
        </w:tc>
      </w:tr>
      <w:tr>
        <w:tblPrEx>
          <w:tblCellMar>
            <w:top w:w="0" w:type="dxa"/>
            <w:left w:w="108" w:type="dxa"/>
            <w:bottom w:w="0" w:type="dxa"/>
            <w:right w:w="108" w:type="dxa"/>
          </w:tblCellMar>
        </w:tblPrEx>
        <w:trPr>
          <w:trHeight w:val="305" w:hRule="atLeast"/>
        </w:trPr>
        <w:tc>
          <w:tcPr>
            <w:tcW w:w="492" w:type="dxa"/>
            <w:vMerge w:val="restart"/>
            <w:tcBorders>
              <w:top w:val="nil"/>
              <w:left w:val="single" w:color="000000" w:sz="8" w:space="0"/>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类</w:t>
            </w:r>
          </w:p>
        </w:tc>
        <w:tc>
          <w:tcPr>
            <w:tcW w:w="492" w:type="dxa"/>
            <w:vMerge w:val="restart"/>
            <w:tcBorders>
              <w:top w:val="nil"/>
              <w:left w:val="nil"/>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款</w:t>
            </w:r>
          </w:p>
        </w:tc>
        <w:tc>
          <w:tcPr>
            <w:tcW w:w="492" w:type="dxa"/>
            <w:vMerge w:val="restart"/>
            <w:tcBorders>
              <w:top w:val="nil"/>
              <w:left w:val="nil"/>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项</w:t>
            </w:r>
          </w:p>
        </w:tc>
        <w:tc>
          <w:tcPr>
            <w:tcW w:w="4824" w:type="dxa"/>
            <w:tcBorders>
              <w:top w:val="nil"/>
              <w:left w:val="nil"/>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栏次</w:t>
            </w:r>
          </w:p>
        </w:tc>
        <w:tc>
          <w:tcPr>
            <w:tcW w:w="2843" w:type="dxa"/>
            <w:tcBorders>
              <w:top w:val="nil"/>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1</w:t>
            </w:r>
          </w:p>
        </w:tc>
        <w:tc>
          <w:tcPr>
            <w:tcW w:w="3058" w:type="dxa"/>
            <w:tcBorders>
              <w:top w:val="nil"/>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2</w:t>
            </w:r>
          </w:p>
        </w:tc>
        <w:tc>
          <w:tcPr>
            <w:tcW w:w="2979" w:type="dxa"/>
            <w:tcBorders>
              <w:top w:val="nil"/>
              <w:left w:val="nil"/>
              <w:bottom w:val="single" w:color="000000" w:sz="4" w:space="0"/>
              <w:right w:val="single" w:color="000000" w:sz="4" w:space="0"/>
            </w:tcBorders>
            <w:vAlign w:val="center"/>
          </w:tcPr>
          <w:p>
            <w:pPr>
              <w:widowControl/>
              <w:jc w:val="center"/>
              <w:rPr>
                <w:color w:val="000000"/>
                <w:kern w:val="0"/>
                <w:sz w:val="22"/>
              </w:rPr>
            </w:pPr>
            <w:r>
              <w:rPr>
                <w:color w:val="000000"/>
                <w:kern w:val="0"/>
                <w:sz w:val="22"/>
              </w:rPr>
              <w:t>3</w:t>
            </w:r>
          </w:p>
        </w:tc>
      </w:tr>
      <w:tr>
        <w:tblPrEx>
          <w:tblCellMar>
            <w:top w:w="0" w:type="dxa"/>
            <w:left w:w="108" w:type="dxa"/>
            <w:bottom w:w="0" w:type="dxa"/>
            <w:right w:w="108" w:type="dxa"/>
          </w:tblCellMar>
        </w:tblPrEx>
        <w:trPr>
          <w:trHeight w:val="305" w:hRule="atLeast"/>
        </w:trPr>
        <w:tc>
          <w:tcPr>
            <w:tcW w:w="492" w:type="dxa"/>
            <w:vMerge w:val="continue"/>
            <w:tcBorders>
              <w:top w:val="nil"/>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92" w:type="dxa"/>
            <w:vMerge w:val="continue"/>
            <w:tcBorders>
              <w:top w:val="nil"/>
              <w:left w:val="nil"/>
              <w:bottom w:val="single" w:color="000000" w:sz="4" w:space="0"/>
              <w:right w:val="single" w:color="000000" w:sz="4" w:space="0"/>
            </w:tcBorders>
            <w:vAlign w:val="center"/>
          </w:tcPr>
          <w:p>
            <w:pPr>
              <w:widowControl/>
              <w:jc w:val="left"/>
              <w:rPr>
                <w:color w:val="000000"/>
                <w:kern w:val="0"/>
                <w:sz w:val="22"/>
              </w:rPr>
            </w:pPr>
          </w:p>
        </w:tc>
        <w:tc>
          <w:tcPr>
            <w:tcW w:w="492" w:type="dxa"/>
            <w:vMerge w:val="continue"/>
            <w:tcBorders>
              <w:top w:val="nil"/>
              <w:left w:val="nil"/>
              <w:bottom w:val="single" w:color="000000" w:sz="4" w:space="0"/>
              <w:right w:val="single" w:color="000000" w:sz="4" w:space="0"/>
            </w:tcBorders>
            <w:vAlign w:val="center"/>
          </w:tcPr>
          <w:p>
            <w:pPr>
              <w:widowControl/>
              <w:jc w:val="left"/>
              <w:rPr>
                <w:color w:val="000000"/>
                <w:kern w:val="0"/>
                <w:sz w:val="22"/>
              </w:rPr>
            </w:pPr>
          </w:p>
        </w:tc>
        <w:tc>
          <w:tcPr>
            <w:tcW w:w="4824" w:type="dxa"/>
            <w:tcBorders>
              <w:top w:val="nil"/>
              <w:left w:val="nil"/>
              <w:bottom w:val="single" w:color="000000" w:sz="4" w:space="0"/>
              <w:right w:val="single" w:color="000000" w:sz="4" w:space="0"/>
            </w:tcBorders>
            <w:vAlign w:val="center"/>
          </w:tcPr>
          <w:p>
            <w:pPr>
              <w:widowControl/>
              <w:jc w:val="center"/>
              <w:rPr>
                <w:color w:val="000000"/>
                <w:kern w:val="0"/>
                <w:sz w:val="22"/>
              </w:rPr>
            </w:pPr>
            <w:r>
              <w:rPr>
                <w:rFonts w:hint="eastAsia"/>
                <w:color w:val="000000"/>
                <w:kern w:val="0"/>
                <w:sz w:val="22"/>
              </w:rPr>
              <w:t>合计</w:t>
            </w: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　无</w:t>
            </w: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0.00　</w:t>
            </w: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0.00　</w:t>
            </w: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0.00　</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4824" w:type="dxa"/>
            <w:tcBorders>
              <w:top w:val="nil"/>
              <w:left w:val="nil"/>
              <w:bottom w:val="single" w:color="000000" w:sz="4"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2843"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3058"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2979" w:type="dxa"/>
            <w:tcBorders>
              <w:top w:val="nil"/>
              <w:left w:val="nil"/>
              <w:bottom w:val="single" w:color="000000" w:sz="4" w:space="0"/>
              <w:right w:val="single" w:color="000000" w:sz="4" w:space="0"/>
            </w:tcBorders>
            <w:vAlign w:val="center"/>
          </w:tcPr>
          <w:p>
            <w:pPr>
              <w:widowControl/>
              <w:jc w:val="right"/>
              <w:rPr>
                <w:color w:val="000000"/>
                <w:kern w:val="0"/>
                <w:sz w:val="22"/>
              </w:rPr>
            </w:pPr>
            <w:r>
              <w:rPr>
                <w:rFonts w:hint="eastAsia"/>
                <w:color w:val="000000"/>
                <w:kern w:val="0"/>
                <w:sz w:val="22"/>
              </w:rPr>
              <w:t>　</w:t>
            </w:r>
          </w:p>
        </w:tc>
      </w:tr>
      <w:tr>
        <w:tblPrEx>
          <w:tblCellMar>
            <w:top w:w="0" w:type="dxa"/>
            <w:left w:w="108" w:type="dxa"/>
            <w:bottom w:w="0" w:type="dxa"/>
            <w:right w:w="108" w:type="dxa"/>
          </w:tblCellMar>
        </w:tblPrEx>
        <w:trPr>
          <w:trHeight w:val="305" w:hRule="atLeast"/>
        </w:trPr>
        <w:tc>
          <w:tcPr>
            <w:tcW w:w="1476"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4824" w:type="dxa"/>
            <w:tcBorders>
              <w:top w:val="nil"/>
              <w:left w:val="nil"/>
              <w:bottom w:val="single" w:color="000000" w:sz="8" w:space="0"/>
              <w:right w:val="single" w:color="000000" w:sz="4" w:space="0"/>
            </w:tcBorders>
            <w:vAlign w:val="center"/>
          </w:tcPr>
          <w:p>
            <w:pPr>
              <w:widowControl/>
              <w:jc w:val="left"/>
              <w:rPr>
                <w:color w:val="000000"/>
                <w:kern w:val="0"/>
                <w:sz w:val="22"/>
              </w:rPr>
            </w:pPr>
            <w:r>
              <w:rPr>
                <w:rFonts w:hint="eastAsia"/>
                <w:color w:val="000000"/>
                <w:kern w:val="0"/>
                <w:sz w:val="22"/>
              </w:rPr>
              <w:t>　</w:t>
            </w:r>
          </w:p>
        </w:tc>
        <w:tc>
          <w:tcPr>
            <w:tcW w:w="2843"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3058"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　</w:t>
            </w:r>
          </w:p>
        </w:tc>
        <w:tc>
          <w:tcPr>
            <w:tcW w:w="2979" w:type="dxa"/>
            <w:tcBorders>
              <w:top w:val="nil"/>
              <w:left w:val="nil"/>
              <w:bottom w:val="single" w:color="000000" w:sz="8" w:space="0"/>
              <w:right w:val="single" w:color="000000" w:sz="4" w:space="0"/>
            </w:tcBorders>
            <w:vAlign w:val="center"/>
          </w:tcPr>
          <w:p>
            <w:pPr>
              <w:widowControl/>
              <w:jc w:val="right"/>
              <w:rPr>
                <w:color w:val="000000"/>
                <w:kern w:val="0"/>
                <w:sz w:val="22"/>
              </w:rPr>
            </w:pPr>
            <w:r>
              <w:rPr>
                <w:rFonts w:hint="eastAsia"/>
                <w:color w:val="000000"/>
                <w:kern w:val="0"/>
                <w:sz w:val="22"/>
              </w:rPr>
              <w:t>　</w:t>
            </w:r>
          </w:p>
        </w:tc>
      </w:tr>
      <w:tr>
        <w:tblPrEx>
          <w:tblCellMar>
            <w:top w:w="0" w:type="dxa"/>
            <w:left w:w="108" w:type="dxa"/>
            <w:bottom w:w="0" w:type="dxa"/>
            <w:right w:w="108" w:type="dxa"/>
          </w:tblCellMar>
        </w:tblPrEx>
        <w:trPr>
          <w:trHeight w:val="305" w:hRule="atLeast"/>
        </w:trPr>
        <w:tc>
          <w:tcPr>
            <w:tcW w:w="15180" w:type="dxa"/>
            <w:gridSpan w:val="7"/>
            <w:tcBorders>
              <w:top w:val="single" w:color="000000" w:sz="8" w:space="0"/>
              <w:left w:val="nil"/>
              <w:bottom w:val="nil"/>
              <w:right w:val="nil"/>
            </w:tcBorders>
            <w:vAlign w:val="bottom"/>
          </w:tcPr>
          <w:p>
            <w:pPr>
              <w:widowControl/>
              <w:jc w:val="left"/>
              <w:rPr>
                <w:color w:val="000000"/>
                <w:kern w:val="0"/>
                <w:sz w:val="22"/>
              </w:rPr>
            </w:pPr>
            <w:r>
              <w:rPr>
                <w:rFonts w:hint="eastAsia"/>
                <w:color w:val="000000"/>
                <w:kern w:val="0"/>
                <w:sz w:val="22"/>
              </w:rPr>
              <w:t>注：本表反映部门本年度国有资本经营预算财政拨款支出情况，数据取自财决11表</w:t>
            </w:r>
          </w:p>
        </w:tc>
      </w:tr>
    </w:tbl>
    <w:p/>
    <w:p/>
    <w:p/>
    <w:p>
      <w:pPr>
        <w:sectPr>
          <w:pgSz w:w="16838" w:h="11906" w:orient="landscape"/>
          <w:pgMar w:top="397" w:right="624" w:bottom="0" w:left="624" w:header="0" w:footer="0" w:gutter="0"/>
          <w:cols w:space="0" w:num="1"/>
          <w:docGrid w:type="linesAndChars" w:linePitch="321" w:charSpace="0"/>
        </w:sectPr>
      </w:pPr>
    </w:p>
    <w:p>
      <w:pPr>
        <w:widowControl/>
        <w:spacing w:line="560" w:lineRule="exact"/>
        <w:jc w:val="center"/>
        <w:outlineLvl w:val="1"/>
        <w:rPr>
          <w:rFonts w:ascii="方正小标宋简体" w:eastAsia="方正小标宋简体"/>
          <w:kern w:val="0"/>
          <w:sz w:val="44"/>
          <w:szCs w:val="44"/>
        </w:rPr>
      </w:pPr>
      <w:r>
        <w:rPr>
          <w:rFonts w:ascii="方正小标宋简体" w:eastAsia="方正小标宋简体"/>
          <w:kern w:val="0"/>
          <w:sz w:val="44"/>
          <w:szCs w:val="44"/>
        </w:rPr>
        <w:t xml:space="preserve">第三部分 </w:t>
      </w:r>
      <w:r>
        <w:rPr>
          <w:rFonts w:hint="eastAsia" w:ascii="方正小标宋简体" w:eastAsia="方正小标宋简体"/>
          <w:kern w:val="0"/>
          <w:sz w:val="44"/>
          <w:szCs w:val="44"/>
        </w:rPr>
        <w:t>2022年</w:t>
      </w:r>
      <w:r>
        <w:rPr>
          <w:rFonts w:ascii="方正小标宋简体" w:eastAsia="方正小标宋简体"/>
          <w:kern w:val="0"/>
          <w:sz w:val="44"/>
          <w:szCs w:val="44"/>
        </w:rPr>
        <w:t>度部门决算情况说明</w:t>
      </w:r>
    </w:p>
    <w:p>
      <w:pPr>
        <w:spacing w:line="560" w:lineRule="exact"/>
        <w:outlineLvl w:val="1"/>
        <w:rPr>
          <w:rFonts w:eastAsia="仿宋_GB2312"/>
          <w:kern w:val="0"/>
          <w:sz w:val="32"/>
          <w:szCs w:val="32"/>
        </w:rPr>
      </w:pPr>
    </w:p>
    <w:p>
      <w:pPr>
        <w:spacing w:line="560" w:lineRule="exact"/>
        <w:ind w:firstLine="640" w:firstLineChars="200"/>
        <w:outlineLvl w:val="1"/>
        <w:rPr>
          <w:rFonts w:ascii="黑体" w:hAnsi="黑体" w:eastAsia="黑体"/>
          <w:kern w:val="0"/>
          <w:sz w:val="32"/>
          <w:szCs w:val="32"/>
        </w:rPr>
      </w:pPr>
      <w:r>
        <w:rPr>
          <w:rFonts w:ascii="黑体" w:hAnsi="黑体" w:eastAsia="黑体"/>
          <w:kern w:val="0"/>
          <w:sz w:val="32"/>
          <w:szCs w:val="32"/>
        </w:rPr>
        <w:t>一、收入支出决算总体情况说明</w:t>
      </w:r>
    </w:p>
    <w:p>
      <w:pPr>
        <w:spacing w:line="560" w:lineRule="exact"/>
        <w:ind w:firstLine="537" w:firstLineChars="168"/>
        <w:outlineLvl w:val="1"/>
        <w:rPr>
          <w:rFonts w:eastAsia="仿宋_GB2312"/>
          <w:kern w:val="0"/>
          <w:sz w:val="32"/>
          <w:szCs w:val="32"/>
          <w:highlight w:val="none"/>
        </w:rPr>
      </w:pPr>
      <w:r>
        <w:rPr>
          <w:rFonts w:hint="eastAsia" w:ascii="仿宋_GB2312" w:hAnsi="宋体" w:eastAsia="仿宋_GB2312"/>
          <w:color w:val="000000" w:themeColor="text1"/>
          <w:kern w:val="0"/>
          <w:sz w:val="32"/>
          <w:szCs w:val="32"/>
          <w14:textFill>
            <w14:solidFill>
              <w14:schemeClr w14:val="tx1"/>
            </w14:solidFill>
          </w14:textFill>
        </w:rPr>
        <w:t>2022年</w:t>
      </w:r>
      <w:r>
        <w:rPr>
          <w:rFonts w:ascii="仿宋_GB2312" w:hAnsi="宋体" w:eastAsia="仿宋_GB2312"/>
          <w:color w:val="000000" w:themeColor="text1"/>
          <w:kern w:val="0"/>
          <w:sz w:val="32"/>
          <w:szCs w:val="32"/>
          <w14:textFill>
            <w14:solidFill>
              <w14:schemeClr w14:val="tx1"/>
            </w14:solidFill>
          </w14:textFill>
        </w:rPr>
        <w:t>度收入总计</w:t>
      </w:r>
      <w:r>
        <w:rPr>
          <w:rFonts w:eastAsia="仿宋_GB2312"/>
          <w:kern w:val="0"/>
          <w:sz w:val="32"/>
          <w:szCs w:val="32"/>
        </w:rPr>
        <w:t>308,323,938.47元，支出总计308,323,938.47元。与上年相比，收、支总计各</w:t>
      </w:r>
      <w:r>
        <w:rPr>
          <w:rFonts w:hint="eastAsia" w:eastAsia="仿宋_GB2312"/>
          <w:kern w:val="0"/>
          <w:sz w:val="32"/>
          <w:szCs w:val="32"/>
        </w:rPr>
        <w:t>增加142</w:t>
      </w:r>
      <w:r>
        <w:rPr>
          <w:rFonts w:eastAsia="仿宋_GB2312"/>
          <w:kern w:val="0"/>
          <w:sz w:val="32"/>
          <w:szCs w:val="32"/>
        </w:rPr>
        <w:t>,</w:t>
      </w:r>
      <w:r>
        <w:rPr>
          <w:rFonts w:hint="eastAsia" w:eastAsia="仿宋_GB2312"/>
          <w:kern w:val="0"/>
          <w:sz w:val="32"/>
          <w:szCs w:val="32"/>
        </w:rPr>
        <w:t>743</w:t>
      </w:r>
      <w:r>
        <w:rPr>
          <w:rFonts w:eastAsia="仿宋_GB2312"/>
          <w:kern w:val="0"/>
          <w:sz w:val="32"/>
          <w:szCs w:val="32"/>
        </w:rPr>
        <w:t>,</w:t>
      </w:r>
      <w:r>
        <w:rPr>
          <w:rFonts w:hint="eastAsia" w:eastAsia="仿宋_GB2312"/>
          <w:kern w:val="0"/>
          <w:sz w:val="32"/>
          <w:szCs w:val="32"/>
        </w:rPr>
        <w:t>495.44</w:t>
      </w:r>
      <w:r>
        <w:rPr>
          <w:rFonts w:eastAsia="仿宋_GB2312"/>
          <w:kern w:val="0"/>
          <w:sz w:val="32"/>
          <w:szCs w:val="32"/>
        </w:rPr>
        <w:t>元，</w:t>
      </w:r>
      <w:r>
        <w:rPr>
          <w:rFonts w:hint="eastAsia" w:eastAsia="仿宋_GB2312"/>
          <w:kern w:val="0"/>
          <w:sz w:val="32"/>
          <w:szCs w:val="32"/>
        </w:rPr>
        <w:t>增加30</w:t>
      </w:r>
      <w:r>
        <w:rPr>
          <w:rFonts w:eastAsia="仿宋_GB2312"/>
          <w:kern w:val="0"/>
          <w:sz w:val="32"/>
          <w:szCs w:val="32"/>
        </w:rPr>
        <w:t>%，主要原因是</w:t>
      </w:r>
      <w:r>
        <w:rPr>
          <w:rFonts w:hint="eastAsia" w:ascii="仿宋_GB2312" w:hAnsi="宋体" w:eastAsia="仿宋_GB2312"/>
          <w:color w:val="000000" w:themeColor="text1"/>
          <w:kern w:val="0"/>
          <w:sz w:val="32"/>
          <w:szCs w:val="32"/>
          <w:highlight w:val="none"/>
          <w14:textFill>
            <w14:solidFill>
              <w14:schemeClr w14:val="tx1"/>
            </w14:solidFill>
          </w14:textFill>
        </w:rPr>
        <w:t>农村综合改革资金、对村集体经济组织的补助资金、对村级一事一议的补助、综合改革转移支付资金、生态美丽良田建设项目资金、大气污染防治资金、农村环境保护</w:t>
      </w:r>
      <w:r>
        <w:rPr>
          <w:rFonts w:hint="eastAsia" w:ascii="仿宋_GB2312" w:hAnsi="宋体" w:eastAsia="仿宋_GB2312"/>
          <w:color w:val="000000" w:themeColor="text1"/>
          <w:kern w:val="0"/>
          <w:sz w:val="32"/>
          <w:szCs w:val="32"/>
          <w:highlight w:val="none"/>
          <w:lang w:eastAsia="zh-CN"/>
          <w14:textFill>
            <w14:solidFill>
              <w14:schemeClr w14:val="tx1"/>
            </w14:solidFill>
          </w14:textFill>
        </w:rPr>
        <w:t>项目、</w:t>
      </w:r>
      <w:r>
        <w:rPr>
          <w:rFonts w:hint="eastAsia" w:ascii="仿宋_GB2312" w:hAnsi="宋体" w:eastAsia="仿宋_GB2312"/>
          <w:color w:val="000000" w:themeColor="text1"/>
          <w:kern w:val="0"/>
          <w:sz w:val="32"/>
          <w:szCs w:val="32"/>
          <w:highlight w:val="none"/>
          <w14:textFill>
            <w14:solidFill>
              <w14:schemeClr w14:val="tx1"/>
            </w14:solidFill>
          </w14:textFill>
        </w:rPr>
        <w:t>巩固脱贫衔接乡村振兴</w:t>
      </w:r>
      <w:r>
        <w:rPr>
          <w:rFonts w:hint="eastAsia" w:ascii="仿宋_GB2312" w:hAnsi="宋体" w:eastAsia="仿宋_GB2312"/>
          <w:color w:val="000000" w:themeColor="text1"/>
          <w:kern w:val="0"/>
          <w:sz w:val="32"/>
          <w:szCs w:val="32"/>
          <w:highlight w:val="none"/>
          <w:lang w:eastAsia="zh-CN"/>
          <w14:textFill>
            <w14:solidFill>
              <w14:schemeClr w14:val="tx1"/>
            </w14:solidFill>
          </w14:textFill>
        </w:rPr>
        <w:t>项目</w:t>
      </w:r>
      <w:r>
        <w:rPr>
          <w:rFonts w:hint="eastAsia" w:ascii="仿宋_GB2312" w:hAnsi="宋体" w:eastAsia="仿宋_GB2312"/>
          <w:color w:val="000000" w:themeColor="text1"/>
          <w:kern w:val="0"/>
          <w:sz w:val="32"/>
          <w:szCs w:val="32"/>
          <w:highlight w:val="none"/>
          <w14:textFill>
            <w14:solidFill>
              <w14:schemeClr w14:val="tx1"/>
            </w14:solidFill>
          </w14:textFill>
        </w:rPr>
        <w:t>等</w:t>
      </w:r>
      <w:r>
        <w:rPr>
          <w:rFonts w:eastAsia="仿宋_GB2312"/>
          <w:kern w:val="0"/>
          <w:sz w:val="32"/>
          <w:szCs w:val="32"/>
          <w:highlight w:val="none"/>
        </w:rPr>
        <w:t>。</w:t>
      </w:r>
    </w:p>
    <w:p>
      <w:pPr>
        <w:spacing w:line="560" w:lineRule="exact"/>
        <w:ind w:firstLine="640" w:firstLineChars="200"/>
        <w:outlineLvl w:val="1"/>
        <w:rPr>
          <w:rFonts w:ascii="黑体" w:hAnsi="黑体" w:eastAsia="黑体"/>
          <w:kern w:val="0"/>
          <w:sz w:val="32"/>
          <w:szCs w:val="32"/>
        </w:rPr>
      </w:pPr>
      <w:r>
        <w:rPr>
          <w:rFonts w:ascii="黑体" w:hAnsi="黑体" w:eastAsia="黑体"/>
          <w:kern w:val="0"/>
          <w:sz w:val="32"/>
          <w:szCs w:val="32"/>
        </w:rPr>
        <w:t>二、收入决算情况说明</w:t>
      </w:r>
    </w:p>
    <w:p>
      <w:pPr>
        <w:spacing w:line="560" w:lineRule="exact"/>
        <w:ind w:firstLine="537" w:firstLineChars="168"/>
        <w:outlineLvl w:val="1"/>
        <w:rPr>
          <w:rFonts w:eastAsia="仿宋_GB2312"/>
          <w:sz w:val="32"/>
          <w:szCs w:val="32"/>
        </w:rPr>
      </w:pPr>
      <w:r>
        <w:rPr>
          <w:rFonts w:hint="eastAsia" w:eastAsia="仿宋_GB2312"/>
          <w:kern w:val="0"/>
          <w:sz w:val="32"/>
          <w:szCs w:val="32"/>
        </w:rPr>
        <w:t>2022年</w:t>
      </w:r>
      <w:r>
        <w:rPr>
          <w:rFonts w:eastAsia="仿宋_GB2312"/>
          <w:kern w:val="0"/>
          <w:sz w:val="32"/>
          <w:szCs w:val="32"/>
        </w:rPr>
        <w:t>度</w:t>
      </w:r>
      <w:r>
        <w:rPr>
          <w:rFonts w:eastAsia="仿宋_GB2312"/>
          <w:sz w:val="32"/>
          <w:szCs w:val="32"/>
        </w:rPr>
        <w:t>收入合计元，其中：财政拨款收入247,117,861.84元，占收入</w:t>
      </w:r>
      <w:r>
        <w:rPr>
          <w:rFonts w:hint="eastAsia" w:eastAsia="仿宋_GB2312"/>
          <w:sz w:val="32"/>
          <w:szCs w:val="32"/>
        </w:rPr>
        <w:t>的85</w:t>
      </w:r>
      <w:r>
        <w:rPr>
          <w:rFonts w:eastAsia="仿宋_GB2312"/>
          <w:sz w:val="32"/>
          <w:szCs w:val="32"/>
        </w:rPr>
        <w:t>%；上级补助收入</w:t>
      </w:r>
      <w:r>
        <w:rPr>
          <w:rFonts w:hint="eastAsia" w:eastAsia="仿宋_GB2312"/>
          <w:sz w:val="32"/>
          <w:szCs w:val="32"/>
        </w:rPr>
        <w:t>0</w:t>
      </w:r>
      <w:r>
        <w:rPr>
          <w:rFonts w:eastAsia="仿宋_GB2312"/>
          <w:sz w:val="32"/>
          <w:szCs w:val="32"/>
        </w:rPr>
        <w:t>元，占收入</w:t>
      </w:r>
      <w:r>
        <w:rPr>
          <w:rFonts w:hint="eastAsia" w:eastAsia="仿宋_GB2312"/>
          <w:sz w:val="32"/>
          <w:szCs w:val="32"/>
        </w:rPr>
        <w:t>的0</w:t>
      </w:r>
      <w:r>
        <w:rPr>
          <w:rFonts w:eastAsia="仿宋_GB2312"/>
          <w:sz w:val="32"/>
          <w:szCs w:val="32"/>
        </w:rPr>
        <w:t>%；事业收入</w:t>
      </w:r>
      <w:r>
        <w:rPr>
          <w:rFonts w:hint="eastAsia" w:eastAsia="仿宋_GB2312"/>
          <w:sz w:val="32"/>
          <w:szCs w:val="32"/>
        </w:rPr>
        <w:t>0</w:t>
      </w:r>
      <w:r>
        <w:rPr>
          <w:rFonts w:eastAsia="仿宋_GB2312"/>
          <w:sz w:val="32"/>
          <w:szCs w:val="32"/>
        </w:rPr>
        <w:t>元，占收入</w:t>
      </w:r>
      <w:r>
        <w:rPr>
          <w:rFonts w:hint="eastAsia" w:eastAsia="仿宋_GB2312"/>
          <w:sz w:val="32"/>
          <w:szCs w:val="32"/>
        </w:rPr>
        <w:t>的0</w:t>
      </w:r>
      <w:r>
        <w:rPr>
          <w:rFonts w:eastAsia="仿宋_GB2312"/>
          <w:sz w:val="32"/>
          <w:szCs w:val="32"/>
        </w:rPr>
        <w:t>%；经营收入</w:t>
      </w:r>
      <w:r>
        <w:rPr>
          <w:rFonts w:hint="eastAsia" w:eastAsia="仿宋_GB2312"/>
          <w:sz w:val="32"/>
          <w:szCs w:val="32"/>
        </w:rPr>
        <w:t>0</w:t>
      </w:r>
      <w:r>
        <w:rPr>
          <w:rFonts w:eastAsia="仿宋_GB2312"/>
          <w:sz w:val="32"/>
          <w:szCs w:val="32"/>
        </w:rPr>
        <w:t>元，占收入</w:t>
      </w:r>
      <w:r>
        <w:rPr>
          <w:rFonts w:hint="eastAsia" w:eastAsia="仿宋_GB2312"/>
          <w:sz w:val="32"/>
          <w:szCs w:val="32"/>
        </w:rPr>
        <w:t>的0</w:t>
      </w:r>
      <w:r>
        <w:rPr>
          <w:rFonts w:eastAsia="仿宋_GB2312"/>
          <w:sz w:val="32"/>
          <w:szCs w:val="32"/>
        </w:rPr>
        <w:t>%；附属单位上缴收入</w:t>
      </w:r>
      <w:r>
        <w:rPr>
          <w:rFonts w:hint="eastAsia" w:eastAsia="仿宋_GB2312"/>
          <w:sz w:val="32"/>
          <w:szCs w:val="32"/>
        </w:rPr>
        <w:t>0</w:t>
      </w:r>
      <w:r>
        <w:rPr>
          <w:rFonts w:eastAsia="仿宋_GB2312"/>
          <w:sz w:val="32"/>
          <w:szCs w:val="32"/>
        </w:rPr>
        <w:t>元，占收入</w:t>
      </w:r>
      <w:r>
        <w:rPr>
          <w:rFonts w:hint="eastAsia" w:eastAsia="仿宋_GB2312"/>
          <w:sz w:val="32"/>
          <w:szCs w:val="32"/>
        </w:rPr>
        <w:t>的0</w:t>
      </w:r>
      <w:r>
        <w:rPr>
          <w:rFonts w:eastAsia="仿宋_GB2312"/>
          <w:sz w:val="32"/>
          <w:szCs w:val="32"/>
        </w:rPr>
        <w:t>%；其他收入44,029,638.90元，占收入</w:t>
      </w:r>
      <w:r>
        <w:rPr>
          <w:rFonts w:hint="eastAsia" w:eastAsia="仿宋_GB2312"/>
          <w:sz w:val="32"/>
          <w:szCs w:val="32"/>
        </w:rPr>
        <w:t>的15</w:t>
      </w:r>
      <w:r>
        <w:rPr>
          <w:rFonts w:eastAsia="仿宋_GB2312"/>
          <w:sz w:val="32"/>
          <w:szCs w:val="32"/>
        </w:rPr>
        <w:t>%。</w:t>
      </w:r>
    </w:p>
    <w:p>
      <w:pPr>
        <w:spacing w:line="560" w:lineRule="exact"/>
        <w:ind w:firstLine="640" w:firstLineChars="200"/>
        <w:outlineLvl w:val="1"/>
        <w:rPr>
          <w:rFonts w:ascii="黑体" w:hAnsi="黑体" w:eastAsia="黑体"/>
          <w:kern w:val="0"/>
          <w:sz w:val="32"/>
          <w:szCs w:val="32"/>
        </w:rPr>
      </w:pPr>
      <w:r>
        <w:rPr>
          <w:rFonts w:ascii="黑体" w:hAnsi="黑体" w:eastAsia="黑体"/>
          <w:kern w:val="0"/>
          <w:sz w:val="32"/>
          <w:szCs w:val="32"/>
        </w:rPr>
        <w:t>三、支出决算情况说明</w:t>
      </w:r>
    </w:p>
    <w:p>
      <w:pPr>
        <w:spacing w:line="560" w:lineRule="exact"/>
        <w:ind w:firstLine="614" w:firstLineChars="192"/>
        <w:outlineLvl w:val="1"/>
        <w:rPr>
          <w:rFonts w:eastAsia="仿宋_GB2312"/>
          <w:kern w:val="0"/>
          <w:sz w:val="32"/>
          <w:szCs w:val="32"/>
        </w:rPr>
      </w:pPr>
      <w:r>
        <w:rPr>
          <w:rFonts w:hint="eastAsia" w:eastAsia="仿宋_GB2312"/>
          <w:kern w:val="0"/>
          <w:sz w:val="32"/>
          <w:szCs w:val="32"/>
        </w:rPr>
        <w:t>2022年</w:t>
      </w:r>
      <w:r>
        <w:rPr>
          <w:rFonts w:eastAsia="仿宋_GB2312"/>
          <w:kern w:val="0"/>
          <w:sz w:val="32"/>
          <w:szCs w:val="32"/>
        </w:rPr>
        <w:t>度支出合计元，其中：基本支出16,705,660.61元，占</w:t>
      </w:r>
      <w:r>
        <w:rPr>
          <w:rFonts w:hint="eastAsia" w:eastAsia="仿宋_GB2312"/>
          <w:sz w:val="32"/>
          <w:szCs w:val="32"/>
        </w:rPr>
        <w:t>支出的</w:t>
      </w:r>
      <w:r>
        <w:rPr>
          <w:rFonts w:hint="eastAsia" w:eastAsia="仿宋_GB2312"/>
          <w:kern w:val="0"/>
          <w:sz w:val="32"/>
          <w:szCs w:val="32"/>
        </w:rPr>
        <w:t>6</w:t>
      </w:r>
      <w:r>
        <w:rPr>
          <w:rFonts w:eastAsia="仿宋_GB2312"/>
          <w:kern w:val="0"/>
          <w:sz w:val="32"/>
          <w:szCs w:val="32"/>
        </w:rPr>
        <w:t>%；项目支出275,881,919.79元，占</w:t>
      </w:r>
      <w:r>
        <w:rPr>
          <w:rFonts w:hint="eastAsia" w:eastAsia="仿宋_GB2312"/>
          <w:sz w:val="32"/>
          <w:szCs w:val="32"/>
        </w:rPr>
        <w:t>支出的</w:t>
      </w:r>
      <w:r>
        <w:rPr>
          <w:rFonts w:hint="eastAsia" w:eastAsia="仿宋_GB2312"/>
          <w:kern w:val="0"/>
          <w:sz w:val="32"/>
          <w:szCs w:val="32"/>
        </w:rPr>
        <w:t>94</w:t>
      </w:r>
      <w:r>
        <w:rPr>
          <w:rFonts w:eastAsia="仿宋_GB2312"/>
          <w:kern w:val="0"/>
          <w:sz w:val="32"/>
          <w:szCs w:val="32"/>
        </w:rPr>
        <w:t>%；上缴上级支出</w:t>
      </w:r>
      <w:r>
        <w:rPr>
          <w:rFonts w:hint="eastAsia" w:eastAsia="仿宋_GB2312"/>
          <w:kern w:val="0"/>
          <w:sz w:val="32"/>
          <w:szCs w:val="32"/>
        </w:rPr>
        <w:t>0</w:t>
      </w:r>
      <w:r>
        <w:rPr>
          <w:rFonts w:eastAsia="仿宋_GB2312"/>
          <w:kern w:val="0"/>
          <w:sz w:val="32"/>
          <w:szCs w:val="32"/>
        </w:rPr>
        <w:t>元，占</w:t>
      </w:r>
      <w:r>
        <w:rPr>
          <w:rFonts w:hint="eastAsia" w:eastAsia="仿宋_GB2312"/>
          <w:sz w:val="32"/>
          <w:szCs w:val="32"/>
        </w:rPr>
        <w:t>支出的</w:t>
      </w:r>
      <w:r>
        <w:rPr>
          <w:rFonts w:hint="eastAsia" w:eastAsia="仿宋_GB2312"/>
          <w:kern w:val="0"/>
          <w:sz w:val="32"/>
          <w:szCs w:val="32"/>
        </w:rPr>
        <w:t>0</w:t>
      </w:r>
      <w:r>
        <w:rPr>
          <w:rFonts w:eastAsia="仿宋_GB2312"/>
          <w:kern w:val="0"/>
          <w:sz w:val="32"/>
          <w:szCs w:val="32"/>
        </w:rPr>
        <w:t>%；经营支出</w:t>
      </w:r>
      <w:r>
        <w:rPr>
          <w:rFonts w:hint="eastAsia" w:eastAsia="仿宋_GB2312"/>
          <w:kern w:val="0"/>
          <w:sz w:val="32"/>
          <w:szCs w:val="32"/>
        </w:rPr>
        <w:t>0</w:t>
      </w:r>
      <w:r>
        <w:rPr>
          <w:rFonts w:eastAsia="仿宋_GB2312"/>
          <w:kern w:val="0"/>
          <w:sz w:val="32"/>
          <w:szCs w:val="32"/>
        </w:rPr>
        <w:t>元，占</w:t>
      </w:r>
      <w:r>
        <w:rPr>
          <w:rFonts w:hint="eastAsia" w:eastAsia="仿宋_GB2312"/>
          <w:sz w:val="32"/>
          <w:szCs w:val="32"/>
        </w:rPr>
        <w:t>支出的</w:t>
      </w:r>
      <w:r>
        <w:rPr>
          <w:rFonts w:hint="eastAsia" w:eastAsia="仿宋_GB2312"/>
          <w:kern w:val="0"/>
          <w:sz w:val="32"/>
          <w:szCs w:val="32"/>
        </w:rPr>
        <w:t>0</w:t>
      </w:r>
      <w:r>
        <w:rPr>
          <w:rFonts w:eastAsia="仿宋_GB2312"/>
          <w:kern w:val="0"/>
          <w:sz w:val="32"/>
          <w:szCs w:val="32"/>
        </w:rPr>
        <w:t>%；对附属单位补助支出</w:t>
      </w:r>
      <w:r>
        <w:rPr>
          <w:rFonts w:hint="eastAsia" w:eastAsia="仿宋_GB2312"/>
          <w:kern w:val="0"/>
          <w:sz w:val="32"/>
          <w:szCs w:val="32"/>
        </w:rPr>
        <w:t>0</w:t>
      </w:r>
      <w:r>
        <w:rPr>
          <w:rFonts w:eastAsia="仿宋_GB2312"/>
          <w:kern w:val="0"/>
          <w:sz w:val="32"/>
          <w:szCs w:val="32"/>
        </w:rPr>
        <w:t>元，占</w:t>
      </w:r>
      <w:r>
        <w:rPr>
          <w:rFonts w:hint="eastAsia" w:eastAsia="仿宋_GB2312"/>
          <w:sz w:val="32"/>
          <w:szCs w:val="32"/>
        </w:rPr>
        <w:t>支出的</w:t>
      </w:r>
      <w:r>
        <w:rPr>
          <w:rFonts w:hint="eastAsia" w:eastAsia="仿宋_GB2312"/>
          <w:kern w:val="0"/>
          <w:sz w:val="32"/>
          <w:szCs w:val="32"/>
        </w:rPr>
        <w:t>0</w:t>
      </w:r>
      <w:r>
        <w:rPr>
          <w:rFonts w:eastAsia="仿宋_GB2312"/>
          <w:kern w:val="0"/>
          <w:sz w:val="32"/>
          <w:szCs w:val="32"/>
        </w:rPr>
        <w:t>%。</w:t>
      </w:r>
    </w:p>
    <w:p>
      <w:pPr>
        <w:spacing w:line="560" w:lineRule="exact"/>
        <w:ind w:firstLine="640" w:firstLineChars="200"/>
        <w:outlineLvl w:val="1"/>
        <w:rPr>
          <w:rFonts w:ascii="黑体" w:hAnsi="黑体" w:eastAsia="黑体"/>
          <w:kern w:val="0"/>
          <w:sz w:val="32"/>
          <w:szCs w:val="32"/>
        </w:rPr>
      </w:pPr>
      <w:r>
        <w:rPr>
          <w:rFonts w:ascii="黑体" w:hAnsi="黑体" w:eastAsia="黑体"/>
          <w:kern w:val="0"/>
          <w:sz w:val="32"/>
          <w:szCs w:val="32"/>
        </w:rPr>
        <w:t>四、财政拨款收入支出决算总体情况说明</w:t>
      </w:r>
    </w:p>
    <w:p>
      <w:pPr>
        <w:spacing w:line="560" w:lineRule="exact"/>
        <w:ind w:firstLine="640" w:firstLineChars="200"/>
        <w:outlineLvl w:val="1"/>
        <w:rPr>
          <w:rFonts w:eastAsia="仿宋_GB2312"/>
          <w:kern w:val="0"/>
          <w:sz w:val="32"/>
          <w:szCs w:val="32"/>
          <w:highlight w:val="none"/>
        </w:rPr>
      </w:pPr>
      <w:r>
        <w:rPr>
          <w:rFonts w:hint="eastAsia" w:eastAsia="仿宋_GB2312"/>
          <w:kern w:val="0"/>
          <w:sz w:val="32"/>
          <w:szCs w:val="32"/>
        </w:rPr>
        <w:t>2022年</w:t>
      </w:r>
      <w:r>
        <w:rPr>
          <w:rFonts w:eastAsia="仿宋_GB2312"/>
          <w:kern w:val="0"/>
          <w:sz w:val="32"/>
          <w:szCs w:val="32"/>
        </w:rPr>
        <w:t>度财政拨款收入总计247,117,861.84元，</w:t>
      </w:r>
      <w:r>
        <w:rPr>
          <w:rFonts w:hint="eastAsia" w:eastAsia="仿宋_GB2312"/>
          <w:kern w:val="0"/>
          <w:sz w:val="32"/>
          <w:szCs w:val="32"/>
        </w:rPr>
        <w:t>同上年相比增加90</w:t>
      </w:r>
      <w:r>
        <w:rPr>
          <w:rFonts w:eastAsia="仿宋_GB2312"/>
          <w:kern w:val="0"/>
          <w:sz w:val="32"/>
          <w:szCs w:val="32"/>
        </w:rPr>
        <w:t>,</w:t>
      </w:r>
      <w:r>
        <w:rPr>
          <w:rFonts w:hint="eastAsia" w:eastAsia="仿宋_GB2312"/>
          <w:kern w:val="0"/>
          <w:sz w:val="32"/>
          <w:szCs w:val="32"/>
        </w:rPr>
        <w:t>711</w:t>
      </w:r>
      <w:r>
        <w:rPr>
          <w:rFonts w:eastAsia="仿宋_GB2312"/>
          <w:kern w:val="0"/>
          <w:sz w:val="32"/>
          <w:szCs w:val="32"/>
        </w:rPr>
        <w:t>,</w:t>
      </w:r>
      <w:r>
        <w:rPr>
          <w:rFonts w:hint="eastAsia" w:eastAsia="仿宋_GB2312"/>
          <w:kern w:val="0"/>
          <w:sz w:val="32"/>
          <w:szCs w:val="32"/>
        </w:rPr>
        <w:t>384.95</w:t>
      </w:r>
      <w:r>
        <w:rPr>
          <w:rFonts w:eastAsia="仿宋_GB2312"/>
          <w:kern w:val="0"/>
          <w:sz w:val="32"/>
          <w:szCs w:val="32"/>
        </w:rPr>
        <w:t>元</w:t>
      </w:r>
      <w:r>
        <w:rPr>
          <w:rFonts w:hint="eastAsia" w:eastAsia="仿宋_GB2312"/>
          <w:kern w:val="0"/>
          <w:sz w:val="32"/>
          <w:szCs w:val="32"/>
        </w:rPr>
        <w:t>，增加57</w:t>
      </w:r>
      <w:r>
        <w:rPr>
          <w:rFonts w:eastAsia="仿宋_GB2312"/>
          <w:kern w:val="0"/>
          <w:sz w:val="32"/>
          <w:szCs w:val="32"/>
        </w:rPr>
        <w:t>%</w:t>
      </w:r>
      <w:r>
        <w:rPr>
          <w:rFonts w:hint="eastAsia" w:eastAsia="仿宋_GB2312"/>
          <w:kern w:val="0"/>
          <w:sz w:val="32"/>
          <w:szCs w:val="32"/>
        </w:rPr>
        <w:t>；</w:t>
      </w:r>
      <w:r>
        <w:rPr>
          <w:rFonts w:eastAsia="仿宋_GB2312"/>
          <w:kern w:val="0"/>
          <w:sz w:val="32"/>
          <w:szCs w:val="32"/>
        </w:rPr>
        <w:t>支出总计246,790,062.73元</w:t>
      </w:r>
      <w:r>
        <w:rPr>
          <w:rFonts w:hint="eastAsia" w:eastAsia="仿宋_GB2312"/>
          <w:kern w:val="0"/>
          <w:sz w:val="32"/>
          <w:szCs w:val="32"/>
        </w:rPr>
        <w:t>，同上年相比增加27</w:t>
      </w:r>
      <w:r>
        <w:rPr>
          <w:rFonts w:eastAsia="仿宋_GB2312"/>
          <w:kern w:val="0"/>
          <w:sz w:val="32"/>
          <w:szCs w:val="32"/>
        </w:rPr>
        <w:t>,</w:t>
      </w:r>
      <w:r>
        <w:rPr>
          <w:rFonts w:hint="eastAsia" w:eastAsia="仿宋_GB2312"/>
          <w:kern w:val="0"/>
          <w:sz w:val="32"/>
          <w:szCs w:val="32"/>
        </w:rPr>
        <w:t>958</w:t>
      </w:r>
      <w:r>
        <w:rPr>
          <w:rFonts w:eastAsia="仿宋_GB2312"/>
          <w:kern w:val="0"/>
          <w:sz w:val="32"/>
          <w:szCs w:val="32"/>
        </w:rPr>
        <w:t>,</w:t>
      </w:r>
      <w:r>
        <w:rPr>
          <w:rFonts w:hint="eastAsia" w:eastAsia="仿宋_GB2312"/>
          <w:kern w:val="0"/>
          <w:sz w:val="32"/>
          <w:szCs w:val="32"/>
        </w:rPr>
        <w:t>962.01</w:t>
      </w:r>
      <w:r>
        <w:rPr>
          <w:rFonts w:eastAsia="仿宋_GB2312"/>
          <w:kern w:val="0"/>
          <w:sz w:val="32"/>
          <w:szCs w:val="32"/>
        </w:rPr>
        <w:t>元</w:t>
      </w:r>
      <w:r>
        <w:rPr>
          <w:rFonts w:hint="eastAsia" w:eastAsia="仿宋_GB2312"/>
          <w:kern w:val="0"/>
          <w:sz w:val="32"/>
          <w:szCs w:val="32"/>
        </w:rPr>
        <w:t>，增加12.7</w:t>
      </w:r>
      <w:r>
        <w:rPr>
          <w:rFonts w:eastAsia="仿宋_GB2312"/>
          <w:kern w:val="0"/>
          <w:sz w:val="32"/>
          <w:szCs w:val="32"/>
        </w:rPr>
        <w:t>%。主要原因是</w:t>
      </w:r>
      <w:r>
        <w:rPr>
          <w:rFonts w:hint="eastAsia" w:ascii="仿宋_GB2312" w:hAnsi="宋体" w:eastAsia="仿宋_GB2312"/>
          <w:color w:val="000000" w:themeColor="text1"/>
          <w:kern w:val="0"/>
          <w:sz w:val="32"/>
          <w:szCs w:val="32"/>
          <w:highlight w:val="none"/>
          <w14:textFill>
            <w14:solidFill>
              <w14:schemeClr w14:val="tx1"/>
            </w14:solidFill>
          </w14:textFill>
        </w:rPr>
        <w:t>大气</w:t>
      </w:r>
      <w:r>
        <w:rPr>
          <w:rFonts w:hint="eastAsia" w:ascii="仿宋_GB2312" w:hAnsi="宋体" w:eastAsia="仿宋_GB2312"/>
          <w:color w:val="000000" w:themeColor="text1"/>
          <w:kern w:val="0"/>
          <w:sz w:val="32"/>
          <w:szCs w:val="32"/>
          <w:highlight w:val="none"/>
          <w:lang w:eastAsia="zh-CN"/>
          <w14:textFill>
            <w14:solidFill>
              <w14:schemeClr w14:val="tx1"/>
            </w14:solidFill>
          </w14:textFill>
        </w:rPr>
        <w:t>、</w:t>
      </w:r>
      <w:r>
        <w:rPr>
          <w:rFonts w:hint="eastAsia" w:ascii="仿宋_GB2312" w:hAnsi="宋体" w:eastAsia="仿宋_GB2312"/>
          <w:color w:val="000000" w:themeColor="text1"/>
          <w:kern w:val="0"/>
          <w:sz w:val="32"/>
          <w:szCs w:val="32"/>
          <w:highlight w:val="none"/>
          <w14:textFill>
            <w14:solidFill>
              <w14:schemeClr w14:val="tx1"/>
            </w14:solidFill>
          </w14:textFill>
        </w:rPr>
        <w:t>农村环境保护</w:t>
      </w:r>
      <w:r>
        <w:rPr>
          <w:rFonts w:hint="eastAsia" w:ascii="仿宋_GB2312" w:hAnsi="宋体" w:eastAsia="仿宋_GB2312"/>
          <w:color w:val="000000" w:themeColor="text1"/>
          <w:kern w:val="0"/>
          <w:sz w:val="32"/>
          <w:szCs w:val="32"/>
          <w:highlight w:val="none"/>
          <w:lang w:eastAsia="zh-CN"/>
          <w14:textFill>
            <w14:solidFill>
              <w14:schemeClr w14:val="tx1"/>
            </w14:solidFill>
          </w14:textFill>
        </w:rPr>
        <w:t>项目、</w:t>
      </w:r>
      <w:r>
        <w:rPr>
          <w:rFonts w:hint="eastAsia" w:ascii="仿宋_GB2312" w:hAnsi="宋体" w:eastAsia="仿宋_GB2312"/>
          <w:color w:val="000000" w:themeColor="text1"/>
          <w:kern w:val="0"/>
          <w:sz w:val="32"/>
          <w:szCs w:val="32"/>
          <w:highlight w:val="none"/>
          <w14:textFill>
            <w14:solidFill>
              <w14:schemeClr w14:val="tx1"/>
            </w14:solidFill>
          </w14:textFill>
        </w:rPr>
        <w:t>巩固脱贫衔接乡村振兴</w:t>
      </w:r>
      <w:r>
        <w:rPr>
          <w:rFonts w:hint="eastAsia" w:ascii="仿宋_GB2312" w:hAnsi="宋体" w:eastAsia="仿宋_GB2312"/>
          <w:color w:val="000000" w:themeColor="text1"/>
          <w:kern w:val="0"/>
          <w:sz w:val="32"/>
          <w:szCs w:val="32"/>
          <w:highlight w:val="none"/>
          <w:lang w:eastAsia="zh-CN"/>
          <w14:textFill>
            <w14:solidFill>
              <w14:schemeClr w14:val="tx1"/>
            </w14:solidFill>
          </w14:textFill>
        </w:rPr>
        <w:t>项目</w:t>
      </w:r>
      <w:r>
        <w:rPr>
          <w:rFonts w:hint="eastAsia" w:ascii="仿宋_GB2312" w:hAnsi="宋体" w:eastAsia="仿宋_GB2312"/>
          <w:color w:val="000000" w:themeColor="text1"/>
          <w:kern w:val="0"/>
          <w:sz w:val="32"/>
          <w:szCs w:val="32"/>
          <w:highlight w:val="none"/>
          <w14:textFill>
            <w14:solidFill>
              <w14:schemeClr w14:val="tx1"/>
            </w14:solidFill>
          </w14:textFill>
        </w:rPr>
        <w:t>等</w:t>
      </w:r>
      <w:r>
        <w:rPr>
          <w:rFonts w:eastAsia="仿宋_GB2312"/>
          <w:kern w:val="0"/>
          <w:sz w:val="32"/>
          <w:szCs w:val="32"/>
          <w:highlight w:val="none"/>
        </w:rPr>
        <w:t>。</w:t>
      </w:r>
    </w:p>
    <w:p>
      <w:pPr>
        <w:spacing w:line="56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五</w:t>
      </w:r>
      <w:r>
        <w:rPr>
          <w:rFonts w:ascii="黑体" w:hAnsi="黑体" w:eastAsia="黑体"/>
          <w:kern w:val="0"/>
          <w:sz w:val="32"/>
          <w:szCs w:val="32"/>
        </w:rPr>
        <w:t>、一般公共预算财政拨款支出决算情况说明</w:t>
      </w:r>
    </w:p>
    <w:p>
      <w:pPr>
        <w:spacing w:line="560" w:lineRule="exact"/>
        <w:ind w:firstLine="643" w:firstLineChars="200"/>
        <w:outlineLvl w:val="1"/>
        <w:rPr>
          <w:rFonts w:ascii="楷体_GB2312" w:eastAsia="楷体_GB2312"/>
          <w:b/>
          <w:kern w:val="0"/>
          <w:sz w:val="32"/>
          <w:szCs w:val="32"/>
        </w:rPr>
      </w:pPr>
      <w:r>
        <w:rPr>
          <w:rFonts w:hint="eastAsia" w:ascii="楷体_GB2312" w:eastAsia="楷体_GB2312"/>
          <w:b/>
          <w:kern w:val="0"/>
          <w:sz w:val="32"/>
          <w:szCs w:val="32"/>
        </w:rPr>
        <w:t>（一）一般公共预算财政拨款支出决算总体情况</w:t>
      </w:r>
    </w:p>
    <w:p>
      <w:pPr>
        <w:spacing w:line="560" w:lineRule="exact"/>
        <w:ind w:firstLine="640" w:firstLineChars="200"/>
        <w:rPr>
          <w:rFonts w:eastAsia="仿宋_GB2312"/>
          <w:kern w:val="0"/>
          <w:sz w:val="32"/>
          <w:szCs w:val="32"/>
          <w:highlight w:val="none"/>
        </w:rPr>
      </w:pPr>
      <w:r>
        <w:rPr>
          <w:rFonts w:hint="eastAsia" w:eastAsia="仿宋_GB2312"/>
          <w:kern w:val="0"/>
          <w:sz w:val="32"/>
          <w:szCs w:val="32"/>
          <w:highlight w:val="none"/>
        </w:rPr>
        <w:t>2022年</w:t>
      </w:r>
      <w:r>
        <w:rPr>
          <w:rFonts w:eastAsia="仿宋_GB2312"/>
          <w:kern w:val="0"/>
          <w:sz w:val="32"/>
          <w:szCs w:val="32"/>
          <w:highlight w:val="none"/>
        </w:rPr>
        <w:t>度一般公共预算财政拨款支出247,117,861.84元，占本年支出合计的</w:t>
      </w:r>
      <w:r>
        <w:rPr>
          <w:rFonts w:hint="eastAsia" w:eastAsia="仿宋_GB2312"/>
          <w:kern w:val="0"/>
          <w:sz w:val="32"/>
          <w:szCs w:val="32"/>
          <w:highlight w:val="none"/>
        </w:rPr>
        <w:t>92</w:t>
      </w:r>
      <w:r>
        <w:rPr>
          <w:rFonts w:eastAsia="仿宋_GB2312"/>
          <w:kern w:val="0"/>
          <w:sz w:val="32"/>
          <w:szCs w:val="32"/>
          <w:highlight w:val="none"/>
        </w:rPr>
        <w:t>%。与上年相比，一般公共预算财政拨款支出增加</w:t>
      </w:r>
      <w:r>
        <w:rPr>
          <w:rFonts w:hint="eastAsia" w:eastAsia="仿宋_GB2312"/>
          <w:kern w:val="0"/>
          <w:sz w:val="32"/>
          <w:szCs w:val="32"/>
          <w:highlight w:val="none"/>
        </w:rPr>
        <w:t>28</w:t>
      </w:r>
      <w:r>
        <w:rPr>
          <w:rFonts w:eastAsia="仿宋_GB2312"/>
          <w:kern w:val="0"/>
          <w:sz w:val="32"/>
          <w:szCs w:val="32"/>
          <w:highlight w:val="none"/>
        </w:rPr>
        <w:t>,</w:t>
      </w:r>
      <w:r>
        <w:rPr>
          <w:rFonts w:hint="eastAsia" w:eastAsia="仿宋_GB2312"/>
          <w:kern w:val="0"/>
          <w:sz w:val="32"/>
          <w:szCs w:val="32"/>
          <w:highlight w:val="none"/>
        </w:rPr>
        <w:t>286</w:t>
      </w:r>
      <w:r>
        <w:rPr>
          <w:rFonts w:eastAsia="仿宋_GB2312"/>
          <w:kern w:val="0"/>
          <w:sz w:val="32"/>
          <w:szCs w:val="32"/>
          <w:highlight w:val="none"/>
        </w:rPr>
        <w:t>,</w:t>
      </w:r>
      <w:r>
        <w:rPr>
          <w:rFonts w:hint="eastAsia" w:eastAsia="仿宋_GB2312"/>
          <w:kern w:val="0"/>
          <w:sz w:val="32"/>
          <w:szCs w:val="32"/>
          <w:highlight w:val="none"/>
        </w:rPr>
        <w:t>761.12</w:t>
      </w:r>
      <w:r>
        <w:rPr>
          <w:rFonts w:eastAsia="仿宋_GB2312"/>
          <w:kern w:val="0"/>
          <w:sz w:val="32"/>
          <w:szCs w:val="32"/>
          <w:highlight w:val="none"/>
        </w:rPr>
        <w:t>元，</w:t>
      </w:r>
      <w:r>
        <w:rPr>
          <w:rFonts w:hint="eastAsia" w:eastAsia="仿宋_GB2312"/>
          <w:kern w:val="0"/>
          <w:sz w:val="32"/>
          <w:szCs w:val="32"/>
          <w:highlight w:val="none"/>
        </w:rPr>
        <w:t>增加12.9</w:t>
      </w:r>
      <w:r>
        <w:rPr>
          <w:rFonts w:eastAsia="仿宋_GB2312"/>
          <w:kern w:val="0"/>
          <w:sz w:val="32"/>
          <w:szCs w:val="32"/>
          <w:highlight w:val="none"/>
        </w:rPr>
        <w:t>%，主要原因是</w:t>
      </w:r>
      <w:r>
        <w:rPr>
          <w:rFonts w:hint="eastAsia" w:ascii="仿宋_GB2312" w:hAnsi="宋体" w:eastAsia="仿宋_GB2312"/>
          <w:color w:val="000000" w:themeColor="text1"/>
          <w:kern w:val="0"/>
          <w:sz w:val="32"/>
          <w:szCs w:val="32"/>
          <w:highlight w:val="none"/>
          <w14:textFill>
            <w14:solidFill>
              <w14:schemeClr w14:val="tx1"/>
            </w14:solidFill>
          </w14:textFill>
        </w:rPr>
        <w:t>村基础设施建设、对村集体一事一议的补助资金、对村集体经济组织的补助资金、生态美丽回乡建设项目资金</w:t>
      </w:r>
      <w:r>
        <w:rPr>
          <w:rFonts w:hint="eastAsia" w:ascii="仿宋_GB2312" w:hAnsi="宋体" w:eastAsia="仿宋_GB2312"/>
          <w:color w:val="000000" w:themeColor="text1"/>
          <w:kern w:val="0"/>
          <w:sz w:val="32"/>
          <w:szCs w:val="32"/>
          <w:highlight w:val="none"/>
          <w:lang w:eastAsia="zh-CN"/>
          <w14:textFill>
            <w14:solidFill>
              <w14:schemeClr w14:val="tx1"/>
            </w14:solidFill>
          </w14:textFill>
        </w:rPr>
        <w:t>、</w:t>
      </w:r>
      <w:r>
        <w:rPr>
          <w:rFonts w:hint="eastAsia" w:ascii="仿宋_GB2312" w:hAnsi="宋体" w:eastAsia="仿宋_GB2312"/>
          <w:color w:val="000000" w:themeColor="text1"/>
          <w:kern w:val="0"/>
          <w:sz w:val="32"/>
          <w:szCs w:val="32"/>
          <w:highlight w:val="none"/>
          <w14:textFill>
            <w14:solidFill>
              <w14:schemeClr w14:val="tx1"/>
            </w14:solidFill>
          </w14:textFill>
        </w:rPr>
        <w:t>巩固脱贫衔接乡村振兴</w:t>
      </w:r>
      <w:r>
        <w:rPr>
          <w:rFonts w:hint="eastAsia" w:ascii="仿宋_GB2312" w:hAnsi="宋体" w:eastAsia="仿宋_GB2312"/>
          <w:color w:val="000000" w:themeColor="text1"/>
          <w:kern w:val="0"/>
          <w:sz w:val="32"/>
          <w:szCs w:val="32"/>
          <w:highlight w:val="none"/>
          <w:lang w:eastAsia="zh-CN"/>
          <w14:textFill>
            <w14:solidFill>
              <w14:schemeClr w14:val="tx1"/>
            </w14:solidFill>
          </w14:textFill>
        </w:rPr>
        <w:t>项目</w:t>
      </w:r>
      <w:r>
        <w:rPr>
          <w:rFonts w:hint="eastAsia" w:ascii="仿宋_GB2312" w:hAnsi="宋体" w:eastAsia="仿宋_GB2312"/>
          <w:color w:val="000000" w:themeColor="text1"/>
          <w:kern w:val="0"/>
          <w:sz w:val="32"/>
          <w:szCs w:val="32"/>
          <w:highlight w:val="none"/>
          <w14:textFill>
            <w14:solidFill>
              <w14:schemeClr w14:val="tx1"/>
            </w14:solidFill>
          </w14:textFill>
        </w:rPr>
        <w:t>等</w:t>
      </w:r>
      <w:r>
        <w:rPr>
          <w:rFonts w:eastAsia="仿宋_GB2312"/>
          <w:kern w:val="0"/>
          <w:sz w:val="32"/>
          <w:szCs w:val="32"/>
          <w:highlight w:val="none"/>
        </w:rPr>
        <w:t>。</w:t>
      </w:r>
    </w:p>
    <w:p>
      <w:pPr>
        <w:spacing w:line="560" w:lineRule="exact"/>
        <w:ind w:firstLine="643" w:firstLineChars="200"/>
        <w:outlineLvl w:val="1"/>
        <w:rPr>
          <w:rFonts w:ascii="楷体_GB2312" w:eastAsia="楷体_GB2312"/>
          <w:b/>
          <w:kern w:val="0"/>
          <w:sz w:val="32"/>
          <w:szCs w:val="32"/>
        </w:rPr>
      </w:pPr>
      <w:r>
        <w:rPr>
          <w:rFonts w:hint="eastAsia" w:ascii="楷体_GB2312" w:eastAsia="楷体_GB2312"/>
          <w:b/>
          <w:kern w:val="0"/>
          <w:sz w:val="32"/>
          <w:szCs w:val="32"/>
        </w:rPr>
        <w:t>（二）一般公共预算财政拨款支出决算结构情况</w:t>
      </w:r>
    </w:p>
    <w:p>
      <w:pPr>
        <w:spacing w:line="560" w:lineRule="exact"/>
        <w:ind w:firstLine="800" w:firstLineChars="250"/>
        <w:rPr>
          <w:rFonts w:ascii="仿宋_GB2312" w:hAnsi="仿宋_GB2312" w:eastAsia="仿宋_GB2312" w:cs="仿宋_GB2312"/>
          <w:b/>
          <w:kern w:val="0"/>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2022年度一般公共预算财政拨款支出</w:t>
      </w:r>
      <w:r>
        <w:rPr>
          <w:rFonts w:eastAsia="仿宋_GB2312"/>
          <w:kern w:val="0"/>
          <w:sz w:val="32"/>
          <w:szCs w:val="32"/>
        </w:rPr>
        <w:t>246,790,062.73</w:t>
      </w:r>
      <w:r>
        <w:rPr>
          <w:rFonts w:hint="eastAsia" w:ascii="仿宋_GB2312" w:hAnsi="仿宋_GB2312" w:eastAsia="仿宋_GB2312" w:cs="仿宋_GB2312"/>
          <w:color w:val="000000" w:themeColor="text1"/>
          <w:kern w:val="0"/>
          <w:sz w:val="32"/>
          <w:szCs w:val="32"/>
          <w14:textFill>
            <w14:solidFill>
              <w14:schemeClr w14:val="tx1"/>
            </w14:solidFill>
          </w14:textFill>
        </w:rPr>
        <w:t>元，</w:t>
      </w:r>
      <w:r>
        <w:rPr>
          <w:rFonts w:hint="eastAsia" w:ascii="仿宋_GB2312" w:hAnsi="仿宋_GB2312" w:eastAsia="仿宋_GB2312" w:cs="仿宋_GB2312"/>
          <w:kern w:val="0"/>
          <w:sz w:val="32"/>
          <w:szCs w:val="32"/>
        </w:rPr>
        <w:t>主要用于以下方面：一般公共服务（类）支出</w:t>
      </w:r>
      <w:r>
        <w:rPr>
          <w:rFonts w:ascii="仿宋_GB2312" w:hAnsi="仿宋_GB2312" w:eastAsia="仿宋_GB2312" w:cs="仿宋_GB2312"/>
          <w:kern w:val="0"/>
          <w:sz w:val="32"/>
          <w:szCs w:val="32"/>
        </w:rPr>
        <w:t>187,553,826.57</w:t>
      </w:r>
      <w:r>
        <w:rPr>
          <w:rFonts w:hint="eastAsia" w:ascii="仿宋_GB2312" w:hAnsi="仿宋_GB2312" w:eastAsia="仿宋_GB2312" w:cs="仿宋_GB2312"/>
          <w:kern w:val="0"/>
          <w:sz w:val="32"/>
          <w:szCs w:val="32"/>
        </w:rPr>
        <w:t>元，占76%；卫生健康（类）支出</w:t>
      </w:r>
      <w:r>
        <w:rPr>
          <w:rFonts w:ascii="仿宋_GB2312" w:hAnsi="仿宋_GB2312" w:eastAsia="仿宋_GB2312" w:cs="仿宋_GB2312"/>
          <w:kern w:val="0"/>
          <w:sz w:val="32"/>
          <w:szCs w:val="32"/>
        </w:rPr>
        <w:t>1,608,434.10</w:t>
      </w:r>
      <w:r>
        <w:rPr>
          <w:rFonts w:hint="eastAsia" w:ascii="仿宋_GB2312" w:hAnsi="仿宋_GB2312" w:eastAsia="仿宋_GB2312" w:cs="仿宋_GB2312"/>
          <w:kern w:val="0"/>
          <w:sz w:val="32"/>
          <w:szCs w:val="32"/>
        </w:rPr>
        <w:t>元，占0.65%；社会保障和就业（类）支出</w:t>
      </w:r>
      <w:r>
        <w:rPr>
          <w:rFonts w:ascii="仿宋_GB2312" w:hAnsi="仿宋_GB2312" w:eastAsia="仿宋_GB2312" w:cs="仿宋_GB2312"/>
          <w:kern w:val="0"/>
          <w:sz w:val="32"/>
          <w:szCs w:val="32"/>
        </w:rPr>
        <w:t>2,308,273.35</w:t>
      </w:r>
      <w:r>
        <w:rPr>
          <w:rFonts w:hint="eastAsia" w:ascii="仿宋_GB2312" w:hAnsi="仿宋_GB2312" w:eastAsia="仿宋_GB2312" w:cs="仿宋_GB2312"/>
          <w:kern w:val="0"/>
          <w:sz w:val="32"/>
          <w:szCs w:val="32"/>
        </w:rPr>
        <w:t>元，占0.93%；节能环保（类）支出</w:t>
      </w:r>
      <w:r>
        <w:rPr>
          <w:rFonts w:ascii="仿宋_GB2312" w:hAnsi="仿宋_GB2312" w:eastAsia="仿宋_GB2312" w:cs="仿宋_GB2312"/>
          <w:kern w:val="0"/>
          <w:sz w:val="32"/>
          <w:szCs w:val="32"/>
        </w:rPr>
        <w:t>11,363,776.00</w:t>
      </w:r>
      <w:r>
        <w:rPr>
          <w:rFonts w:hint="eastAsia" w:ascii="仿宋_GB2312" w:hAnsi="仿宋_GB2312" w:eastAsia="仿宋_GB2312" w:cs="仿宋_GB2312"/>
          <w:kern w:val="0"/>
          <w:sz w:val="32"/>
          <w:szCs w:val="32"/>
        </w:rPr>
        <w:t>元，占4.6%；城乡社区（类）支出</w:t>
      </w:r>
      <w:r>
        <w:rPr>
          <w:rFonts w:ascii="仿宋_GB2312" w:hAnsi="仿宋_GB2312" w:eastAsia="仿宋_GB2312" w:cs="仿宋_GB2312"/>
          <w:kern w:val="0"/>
          <w:sz w:val="32"/>
          <w:szCs w:val="32"/>
        </w:rPr>
        <w:t>895,734.00</w:t>
      </w:r>
      <w:r>
        <w:rPr>
          <w:rFonts w:hint="eastAsia" w:ascii="仿宋_GB2312" w:hAnsi="仿宋_GB2312" w:eastAsia="仿宋_GB2312" w:cs="仿宋_GB2312"/>
          <w:kern w:val="0"/>
          <w:sz w:val="32"/>
          <w:szCs w:val="32"/>
        </w:rPr>
        <w:t>元，占0.36%；农林水（类）支出</w:t>
      </w:r>
      <w:r>
        <w:rPr>
          <w:rFonts w:ascii="仿宋_GB2312" w:hAnsi="仿宋_GB2312" w:eastAsia="仿宋_GB2312" w:cs="仿宋_GB2312"/>
          <w:kern w:val="0"/>
          <w:sz w:val="32"/>
          <w:szCs w:val="32"/>
        </w:rPr>
        <w:t>42,178,348.01</w:t>
      </w:r>
      <w:r>
        <w:rPr>
          <w:rFonts w:hint="eastAsia" w:ascii="仿宋_GB2312" w:hAnsi="仿宋_GB2312" w:eastAsia="仿宋_GB2312" w:cs="仿宋_GB2312"/>
          <w:kern w:val="0"/>
          <w:sz w:val="32"/>
          <w:szCs w:val="32"/>
        </w:rPr>
        <w:t>元，占17.1 %；住房保障（类）支出</w:t>
      </w:r>
      <w:r>
        <w:rPr>
          <w:rFonts w:ascii="仿宋_GB2312" w:hAnsi="仿宋_GB2312" w:eastAsia="仿宋_GB2312" w:cs="仿宋_GB2312"/>
          <w:kern w:val="0"/>
          <w:sz w:val="32"/>
          <w:szCs w:val="32"/>
        </w:rPr>
        <w:t>881,670.70</w:t>
      </w:r>
      <w:r>
        <w:rPr>
          <w:rFonts w:hint="eastAsia" w:ascii="仿宋_GB2312" w:hAnsi="仿宋_GB2312" w:eastAsia="仿宋_GB2312" w:cs="仿宋_GB2312"/>
          <w:kern w:val="0"/>
          <w:sz w:val="32"/>
          <w:szCs w:val="32"/>
        </w:rPr>
        <w:t>元，占0.36%；</w:t>
      </w:r>
    </w:p>
    <w:p>
      <w:pPr>
        <w:spacing w:line="560" w:lineRule="exact"/>
        <w:ind w:firstLine="643" w:firstLineChars="200"/>
        <w:outlineLvl w:val="1"/>
        <w:rPr>
          <w:rFonts w:ascii="楷体_GB2312" w:eastAsia="楷体_GB2312"/>
          <w:b/>
          <w:kern w:val="0"/>
          <w:sz w:val="32"/>
          <w:szCs w:val="32"/>
        </w:rPr>
      </w:pPr>
      <w:r>
        <w:rPr>
          <w:rFonts w:hint="eastAsia" w:ascii="楷体_GB2312" w:eastAsia="楷体_GB2312"/>
          <w:b/>
          <w:kern w:val="0"/>
          <w:sz w:val="32"/>
          <w:szCs w:val="32"/>
        </w:rPr>
        <w:t>（三）一般公共预算财政拨款支出决算具体情况。</w:t>
      </w:r>
    </w:p>
    <w:p>
      <w:pPr>
        <w:spacing w:line="560" w:lineRule="exact"/>
        <w:ind w:firstLine="640" w:firstLineChars="200"/>
        <w:rPr>
          <w:rFonts w:eastAsia="仿宋_GB2312"/>
          <w:color w:val="FF0000"/>
          <w:kern w:val="0"/>
          <w:sz w:val="32"/>
          <w:szCs w:val="32"/>
          <w:highlight w:val="none"/>
        </w:rPr>
      </w:pPr>
      <w:r>
        <w:rPr>
          <w:rFonts w:hint="eastAsia" w:ascii="仿宋_GB2312" w:hAnsi="仿宋_GB2312" w:eastAsia="仿宋_GB2312" w:cs="仿宋_GB2312"/>
          <w:kern w:val="0"/>
          <w:sz w:val="32"/>
          <w:szCs w:val="32"/>
        </w:rPr>
        <w:t>2022年度一般公共预算财政拨款支出年初预算为</w:t>
      </w:r>
      <w:r>
        <w:rPr>
          <w:rFonts w:eastAsia="仿宋_GB2312"/>
          <w:kern w:val="0"/>
          <w:sz w:val="32"/>
          <w:szCs w:val="32"/>
        </w:rPr>
        <w:t>18,401,700.00</w:t>
      </w:r>
      <w:r>
        <w:rPr>
          <w:rFonts w:hint="eastAsia" w:ascii="仿宋_GB2312" w:hAnsi="仿宋_GB2312" w:eastAsia="仿宋_GB2312" w:cs="仿宋_GB2312"/>
          <w:color w:val="000000" w:themeColor="text1"/>
          <w:kern w:val="0"/>
          <w:sz w:val="32"/>
          <w:szCs w:val="32"/>
          <w14:textFill>
            <w14:solidFill>
              <w14:schemeClr w14:val="tx1"/>
            </w14:solidFill>
          </w14:textFill>
        </w:rPr>
        <w:t>元，支出决算为</w:t>
      </w:r>
      <w:r>
        <w:rPr>
          <w:rFonts w:eastAsia="仿宋_GB2312"/>
          <w:kern w:val="0"/>
          <w:sz w:val="32"/>
          <w:szCs w:val="32"/>
        </w:rPr>
        <w:t>247,960,027.90</w:t>
      </w:r>
      <w:r>
        <w:rPr>
          <w:rFonts w:hint="eastAsia" w:ascii="仿宋_GB2312" w:hAnsi="仿宋_GB2312" w:eastAsia="仿宋_GB2312" w:cs="仿宋_GB2312"/>
          <w:color w:val="000000" w:themeColor="text1"/>
          <w:kern w:val="0"/>
          <w:sz w:val="32"/>
          <w:szCs w:val="32"/>
          <w14:textFill>
            <w14:solidFill>
              <w14:schemeClr w14:val="tx1"/>
            </w14:solidFill>
          </w14:textFill>
        </w:rPr>
        <w:t>元，完成年初预算的134.75%，决算数大于预算数的主要原因</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收到农村综合改革资金、对村集体经济组织的补助资金、对村级一事一议的补助、其他应急管理支出资金、综合改革转移支付资金、生态美丽良田建设项目资金、突发公共卫生事件应急处理资金、大气污染防治资金、农业生产发展资金、巩固脱贫衔接乡村振兴等。</w:t>
      </w:r>
    </w:p>
    <w:p>
      <w:pPr>
        <w:spacing w:line="560" w:lineRule="exact"/>
        <w:ind w:firstLine="611" w:firstLineChars="191"/>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rPr>
        <w:t>其中：</w:t>
      </w:r>
    </w:p>
    <w:p>
      <w:pPr>
        <w:spacing w:line="560" w:lineRule="exact"/>
        <w:ind w:firstLine="614" w:firstLineChars="191"/>
        <w:rPr>
          <w:rFonts w:ascii="仿宋" w:hAnsi="仿宋" w:eastAsia="仿宋" w:cs="仿宋_GB2312"/>
          <w:color w:val="000000"/>
          <w:kern w:val="0"/>
          <w:sz w:val="32"/>
          <w:szCs w:val="32"/>
        </w:rPr>
      </w:pPr>
      <w:r>
        <w:rPr>
          <w:rFonts w:hint="eastAsia" w:ascii="仿宋" w:hAnsi="仿宋" w:eastAsia="仿宋" w:cs="仿宋_GB2312"/>
          <w:b/>
          <w:bCs/>
          <w:kern w:val="0"/>
          <w:sz w:val="32"/>
          <w:szCs w:val="32"/>
        </w:rPr>
        <w:t>1、一般公共服务支出（类）政协事务（款）其他政协事务支出（项）。</w:t>
      </w:r>
      <w:r>
        <w:rPr>
          <w:rFonts w:hint="eastAsia" w:ascii="仿宋" w:hAnsi="仿宋" w:eastAsia="仿宋" w:cs="仿宋_GB2312"/>
          <w:bCs/>
          <w:kern w:val="0"/>
          <w:sz w:val="32"/>
          <w:szCs w:val="32"/>
        </w:rPr>
        <w:t>年初预算为</w:t>
      </w:r>
      <w:r>
        <w:rPr>
          <w:rFonts w:hint="eastAsia" w:ascii="仿宋" w:hAnsi="仿宋" w:eastAsia="仿宋" w:cs="仿宋_GB2312"/>
          <w:kern w:val="0"/>
          <w:sz w:val="32"/>
          <w:szCs w:val="32"/>
          <w:u w:val="single"/>
        </w:rPr>
        <w:t>0</w:t>
      </w:r>
      <w:r>
        <w:rPr>
          <w:rFonts w:hint="eastAsia" w:ascii="仿宋" w:hAnsi="仿宋" w:eastAsia="仿宋" w:cs="仿宋_GB2312"/>
          <w:bCs/>
          <w:kern w:val="0"/>
          <w:sz w:val="32"/>
          <w:szCs w:val="32"/>
        </w:rPr>
        <w:t>元，支出决算为</w:t>
      </w:r>
      <w:r>
        <w:rPr>
          <w:rFonts w:ascii="仿宋" w:hAnsi="仿宋" w:eastAsia="仿宋" w:cs="仿宋_GB2312"/>
          <w:kern w:val="0"/>
          <w:sz w:val="32"/>
          <w:szCs w:val="32"/>
          <w:u w:val="single"/>
        </w:rPr>
        <w:t>625,499.22</w:t>
      </w:r>
      <w:r>
        <w:rPr>
          <w:rFonts w:hint="eastAsia" w:ascii="仿宋" w:hAnsi="仿宋" w:eastAsia="仿宋" w:cs="仿宋_GB2312"/>
          <w:bCs/>
          <w:kern w:val="0"/>
          <w:sz w:val="32"/>
          <w:szCs w:val="32"/>
        </w:rPr>
        <w:t>元，</w:t>
      </w:r>
      <w:r>
        <w:rPr>
          <w:rFonts w:hint="eastAsia" w:ascii="仿宋" w:hAnsi="仿宋" w:eastAsia="仿宋" w:cs="仿宋_GB2312"/>
          <w:kern w:val="0"/>
          <w:sz w:val="32"/>
          <w:szCs w:val="32"/>
        </w:rPr>
        <w:t>完成年初预算的%，</w:t>
      </w:r>
      <w:r>
        <w:rPr>
          <w:rFonts w:hint="eastAsia" w:ascii="仿宋" w:hAnsi="仿宋" w:eastAsia="仿宋" w:cs="仿宋_GB2312"/>
          <w:bCs/>
          <w:kern w:val="0"/>
          <w:sz w:val="32"/>
          <w:szCs w:val="32"/>
        </w:rPr>
        <w:t>决算数大于预算数的主要原因是：本年度</w:t>
      </w:r>
      <w:r>
        <w:rPr>
          <w:rFonts w:hint="eastAsia" w:ascii="仿宋" w:hAnsi="仿宋" w:eastAsia="仿宋" w:cs="仿宋_GB2312"/>
          <w:bCs/>
          <w:kern w:val="0"/>
          <w:sz w:val="32"/>
          <w:szCs w:val="32"/>
          <w:lang w:eastAsia="zh-CN"/>
        </w:rPr>
        <w:t>支付</w:t>
      </w:r>
      <w:r>
        <w:rPr>
          <w:rFonts w:hint="eastAsia" w:ascii="仿宋" w:hAnsi="仿宋" w:eastAsia="仿宋" w:cs="仿宋_GB2312"/>
          <w:bCs/>
          <w:kern w:val="0"/>
          <w:sz w:val="32"/>
          <w:szCs w:val="32"/>
        </w:rPr>
        <w:t>园子村四队温棚道路硬化项目</w:t>
      </w:r>
      <w:r>
        <w:rPr>
          <w:rFonts w:hint="eastAsia" w:ascii="仿宋" w:hAnsi="仿宋" w:eastAsia="仿宋" w:cs="仿宋_GB2312"/>
          <w:bCs/>
          <w:kern w:val="0"/>
          <w:sz w:val="32"/>
          <w:szCs w:val="32"/>
          <w:lang w:eastAsia="zh-CN"/>
        </w:rPr>
        <w:t>，</w:t>
      </w:r>
      <w:r>
        <w:rPr>
          <w:rFonts w:hint="eastAsia" w:ascii="仿宋" w:hAnsi="仿宋" w:eastAsia="仿宋" w:cs="仿宋_GB2312"/>
          <w:bCs/>
          <w:kern w:val="0"/>
          <w:sz w:val="32"/>
          <w:szCs w:val="32"/>
        </w:rPr>
        <w:t>泾龙村道路硬化项目</w:t>
      </w:r>
      <w:r>
        <w:rPr>
          <w:rFonts w:hint="eastAsia" w:ascii="仿宋" w:hAnsi="仿宋" w:eastAsia="仿宋" w:cs="仿宋_GB2312"/>
          <w:bCs/>
          <w:kern w:val="0"/>
          <w:sz w:val="32"/>
          <w:szCs w:val="32"/>
          <w:lang w:eastAsia="zh-CN"/>
        </w:rPr>
        <w:t>等。</w:t>
      </w:r>
    </w:p>
    <w:p>
      <w:pPr>
        <w:spacing w:line="560" w:lineRule="exact"/>
        <w:ind w:firstLine="643" w:firstLineChars="200"/>
        <w:rPr>
          <w:rFonts w:ascii="仿宋" w:hAnsi="仿宋" w:eastAsia="仿宋" w:cs="仿宋_GB2312"/>
          <w:bCs/>
          <w:kern w:val="0"/>
          <w:sz w:val="32"/>
          <w:szCs w:val="32"/>
        </w:rPr>
      </w:pPr>
      <w:r>
        <w:rPr>
          <w:rFonts w:hint="eastAsia" w:ascii="仿宋" w:hAnsi="仿宋" w:eastAsia="仿宋" w:cs="仿宋_GB2312"/>
          <w:b/>
          <w:bCs/>
          <w:kern w:val="0"/>
          <w:sz w:val="32"/>
          <w:szCs w:val="32"/>
        </w:rPr>
        <w:t>2、一般公共服务支出（类）政府办公厅（室）及相关机构事务（款）行政运行（项）。</w:t>
      </w:r>
      <w:r>
        <w:rPr>
          <w:rFonts w:hint="eastAsia" w:ascii="仿宋" w:hAnsi="仿宋" w:eastAsia="仿宋" w:cs="仿宋_GB2312"/>
          <w:bCs/>
          <w:kern w:val="0"/>
          <w:sz w:val="32"/>
          <w:szCs w:val="32"/>
        </w:rPr>
        <w:t>年初预算为</w:t>
      </w:r>
      <w:r>
        <w:rPr>
          <w:rFonts w:hint="eastAsia" w:ascii="仿宋" w:hAnsi="仿宋" w:eastAsia="仿宋" w:cs="仿宋_GB2312"/>
          <w:kern w:val="0"/>
          <w:sz w:val="32"/>
          <w:szCs w:val="32"/>
          <w:u w:val="single"/>
          <w:lang w:val="en-US" w:eastAsia="zh-CN"/>
        </w:rPr>
        <w:t>14</w:t>
      </w:r>
      <w:r>
        <w:rPr>
          <w:rFonts w:ascii="仿宋" w:hAnsi="仿宋" w:eastAsia="仿宋" w:cs="仿宋_GB2312"/>
          <w:kern w:val="0"/>
          <w:sz w:val="32"/>
          <w:szCs w:val="32"/>
          <w:u w:val="single"/>
        </w:rPr>
        <w:t>,</w:t>
      </w:r>
      <w:r>
        <w:rPr>
          <w:rFonts w:hint="eastAsia" w:ascii="仿宋" w:hAnsi="仿宋" w:eastAsia="仿宋" w:cs="仿宋_GB2312"/>
          <w:kern w:val="0"/>
          <w:sz w:val="32"/>
          <w:szCs w:val="32"/>
          <w:u w:val="single"/>
          <w:lang w:val="en-US" w:eastAsia="zh-CN"/>
        </w:rPr>
        <w:t>641</w:t>
      </w:r>
      <w:r>
        <w:rPr>
          <w:rFonts w:ascii="仿宋" w:hAnsi="仿宋" w:eastAsia="仿宋" w:cs="仿宋_GB2312"/>
          <w:kern w:val="0"/>
          <w:sz w:val="32"/>
          <w:szCs w:val="32"/>
          <w:u w:val="single"/>
        </w:rPr>
        <w:t>,</w:t>
      </w:r>
      <w:r>
        <w:rPr>
          <w:rFonts w:hint="eastAsia" w:ascii="仿宋" w:hAnsi="仿宋" w:eastAsia="仿宋" w:cs="仿宋_GB2312"/>
          <w:kern w:val="0"/>
          <w:sz w:val="32"/>
          <w:szCs w:val="32"/>
          <w:u w:val="single"/>
          <w:lang w:val="en-US" w:eastAsia="zh-CN"/>
        </w:rPr>
        <w:t>080</w:t>
      </w:r>
      <w:r>
        <w:rPr>
          <w:rFonts w:hint="eastAsia" w:ascii="仿宋" w:hAnsi="仿宋" w:eastAsia="仿宋" w:cs="仿宋_GB2312"/>
          <w:kern w:val="0"/>
          <w:sz w:val="32"/>
          <w:szCs w:val="32"/>
          <w:u w:val="single"/>
        </w:rPr>
        <w:t>.37</w:t>
      </w:r>
      <w:r>
        <w:rPr>
          <w:rFonts w:hint="eastAsia" w:ascii="仿宋" w:hAnsi="仿宋" w:eastAsia="仿宋" w:cs="仿宋_GB2312"/>
          <w:bCs/>
          <w:kern w:val="0"/>
          <w:sz w:val="32"/>
          <w:szCs w:val="32"/>
        </w:rPr>
        <w:t>元，支出决算为</w:t>
      </w:r>
      <w:r>
        <w:rPr>
          <w:rFonts w:ascii="仿宋" w:hAnsi="仿宋" w:eastAsia="仿宋" w:cs="仿宋_GB2312"/>
          <w:kern w:val="0"/>
          <w:sz w:val="32"/>
          <w:szCs w:val="32"/>
          <w:u w:val="single"/>
        </w:rPr>
        <w:t>13,091,017.17</w:t>
      </w:r>
      <w:r>
        <w:rPr>
          <w:rFonts w:hint="eastAsia" w:ascii="仿宋" w:hAnsi="仿宋" w:eastAsia="仿宋" w:cs="仿宋_GB2312"/>
          <w:bCs/>
          <w:kern w:val="0"/>
          <w:sz w:val="32"/>
          <w:szCs w:val="32"/>
        </w:rPr>
        <w:t>元，</w:t>
      </w:r>
      <w:r>
        <w:rPr>
          <w:rFonts w:hint="eastAsia" w:ascii="仿宋" w:hAnsi="仿宋" w:eastAsia="仿宋" w:cs="仿宋_GB2312"/>
          <w:kern w:val="0"/>
          <w:sz w:val="32"/>
          <w:szCs w:val="32"/>
        </w:rPr>
        <w:t>完成年初预算的</w:t>
      </w:r>
      <w:r>
        <w:rPr>
          <w:rFonts w:hint="eastAsia" w:ascii="仿宋" w:hAnsi="仿宋" w:eastAsia="仿宋" w:cs="仿宋_GB2312"/>
          <w:kern w:val="0"/>
          <w:sz w:val="32"/>
          <w:szCs w:val="32"/>
          <w:lang w:val="en-US" w:eastAsia="zh-CN"/>
        </w:rPr>
        <w:t>90</w:t>
      </w:r>
      <w:r>
        <w:rPr>
          <w:rFonts w:hint="eastAsia" w:ascii="仿宋" w:hAnsi="仿宋" w:eastAsia="仿宋" w:cs="仿宋_GB2312"/>
          <w:kern w:val="0"/>
          <w:sz w:val="32"/>
          <w:szCs w:val="32"/>
        </w:rPr>
        <w:t>%，</w:t>
      </w:r>
      <w:r>
        <w:rPr>
          <w:rFonts w:hint="eastAsia" w:ascii="仿宋" w:hAnsi="仿宋" w:eastAsia="仿宋" w:cs="仿宋_GB2312"/>
          <w:bCs/>
          <w:kern w:val="0"/>
          <w:sz w:val="32"/>
          <w:szCs w:val="32"/>
        </w:rPr>
        <w:t>决算数</w:t>
      </w:r>
      <w:r>
        <w:rPr>
          <w:rFonts w:hint="eastAsia" w:ascii="仿宋" w:hAnsi="仿宋" w:eastAsia="仿宋" w:cs="仿宋_GB2312"/>
          <w:bCs/>
          <w:kern w:val="0"/>
          <w:sz w:val="32"/>
          <w:szCs w:val="32"/>
          <w:lang w:eastAsia="zh-CN"/>
        </w:rPr>
        <w:t>小于</w:t>
      </w:r>
      <w:r>
        <w:rPr>
          <w:rFonts w:hint="eastAsia" w:ascii="仿宋" w:hAnsi="仿宋" w:eastAsia="仿宋" w:cs="仿宋_GB2312"/>
          <w:bCs/>
          <w:kern w:val="0"/>
          <w:sz w:val="32"/>
          <w:szCs w:val="32"/>
        </w:rPr>
        <w:t>预算数的主要原因是：</w:t>
      </w:r>
      <w:r>
        <w:rPr>
          <w:rFonts w:hint="eastAsia" w:ascii="仿宋" w:hAnsi="仿宋" w:eastAsia="仿宋" w:cs="仿宋_GB2312"/>
          <w:bCs/>
          <w:kern w:val="0"/>
          <w:sz w:val="32"/>
          <w:szCs w:val="32"/>
          <w:highlight w:val="none"/>
        </w:rPr>
        <w:t>本年度在职人员调资、乡镇补贴、村干工资及绩效发放</w:t>
      </w:r>
      <w:r>
        <w:rPr>
          <w:rFonts w:hint="eastAsia" w:ascii="仿宋" w:hAnsi="仿宋" w:eastAsia="仿宋" w:cs="仿宋_GB2312"/>
          <w:bCs/>
          <w:kern w:val="0"/>
          <w:sz w:val="32"/>
          <w:szCs w:val="32"/>
          <w:highlight w:val="none"/>
          <w:lang w:eastAsia="zh-CN"/>
        </w:rPr>
        <w:t>，聘用人员工资</w:t>
      </w:r>
      <w:r>
        <w:rPr>
          <w:rFonts w:hint="eastAsia" w:ascii="仿宋" w:hAnsi="仿宋" w:eastAsia="仿宋" w:cs="仿宋_GB2312"/>
          <w:bCs/>
          <w:kern w:val="0"/>
          <w:sz w:val="32"/>
          <w:szCs w:val="32"/>
          <w:highlight w:val="none"/>
        </w:rPr>
        <w:t>等；</w:t>
      </w:r>
    </w:p>
    <w:p>
      <w:pPr>
        <w:spacing w:line="560" w:lineRule="exact"/>
        <w:ind w:firstLine="643" w:firstLineChars="200"/>
        <w:rPr>
          <w:rFonts w:ascii="仿宋" w:hAnsi="仿宋" w:eastAsia="仿宋" w:cs="仿宋_GB2312"/>
          <w:bCs/>
          <w:kern w:val="0"/>
          <w:sz w:val="32"/>
          <w:szCs w:val="32"/>
        </w:rPr>
      </w:pPr>
      <w:r>
        <w:rPr>
          <w:rFonts w:hint="eastAsia" w:ascii="仿宋" w:hAnsi="仿宋" w:eastAsia="仿宋" w:cs="仿宋_GB2312"/>
          <w:b/>
          <w:color w:val="000000"/>
          <w:kern w:val="0"/>
          <w:sz w:val="32"/>
          <w:szCs w:val="32"/>
        </w:rPr>
        <w:t>3、</w:t>
      </w:r>
      <w:r>
        <w:rPr>
          <w:rFonts w:hint="eastAsia" w:ascii="仿宋" w:hAnsi="仿宋" w:eastAsia="仿宋" w:cs="仿宋_GB2312"/>
          <w:b/>
          <w:bCs/>
          <w:kern w:val="0"/>
          <w:sz w:val="32"/>
          <w:szCs w:val="32"/>
        </w:rPr>
        <w:t>一般公共服务支出（类）政府办公厅（室）及相关机构事务（款）一般行政管理事务（项）。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1</w:t>
      </w:r>
      <w:r>
        <w:rPr>
          <w:rFonts w:ascii="仿宋" w:hAnsi="仿宋" w:eastAsia="仿宋" w:cs="仿宋_GB2312"/>
          <w:bCs/>
          <w:kern w:val="0"/>
          <w:sz w:val="32"/>
          <w:szCs w:val="32"/>
          <w:u w:val="single"/>
        </w:rPr>
        <w:t>,</w:t>
      </w:r>
      <w:r>
        <w:rPr>
          <w:rFonts w:hint="eastAsia" w:ascii="仿宋" w:hAnsi="仿宋" w:eastAsia="仿宋" w:cs="仿宋_GB2312"/>
          <w:bCs/>
          <w:kern w:val="0"/>
          <w:sz w:val="32"/>
          <w:szCs w:val="32"/>
          <w:u w:val="single"/>
        </w:rPr>
        <w:t>609</w:t>
      </w:r>
      <w:r>
        <w:rPr>
          <w:rFonts w:ascii="仿宋" w:hAnsi="仿宋" w:eastAsia="仿宋" w:cs="仿宋_GB2312"/>
          <w:bCs/>
          <w:kern w:val="0"/>
          <w:sz w:val="32"/>
          <w:szCs w:val="32"/>
          <w:u w:val="single"/>
        </w:rPr>
        <w:t>,</w:t>
      </w:r>
      <w:r>
        <w:rPr>
          <w:rFonts w:hint="eastAsia" w:ascii="仿宋" w:hAnsi="仿宋" w:eastAsia="仿宋" w:cs="仿宋_GB2312"/>
          <w:bCs/>
          <w:kern w:val="0"/>
          <w:sz w:val="32"/>
          <w:szCs w:val="32"/>
          <w:u w:val="single"/>
        </w:rPr>
        <w:t>580</w:t>
      </w:r>
      <w:r>
        <w:rPr>
          <w:rFonts w:hint="eastAsia" w:ascii="仿宋" w:hAnsi="仿宋" w:eastAsia="仿宋" w:cs="仿宋_GB2312"/>
          <w:bCs/>
          <w:kern w:val="0"/>
          <w:sz w:val="32"/>
          <w:szCs w:val="32"/>
          <w:u w:val="single"/>
          <w:lang w:val="en-US" w:eastAsia="zh-CN"/>
        </w:rPr>
        <w:t>.00</w:t>
      </w:r>
      <w:r>
        <w:rPr>
          <w:rFonts w:hint="eastAsia" w:ascii="仿宋" w:hAnsi="仿宋" w:eastAsia="仿宋" w:cs="仿宋_GB2312"/>
          <w:bCs/>
          <w:kern w:val="0"/>
          <w:sz w:val="32"/>
          <w:szCs w:val="32"/>
        </w:rPr>
        <w:t>元，支出决算为</w:t>
      </w:r>
      <w:r>
        <w:rPr>
          <w:rFonts w:ascii="仿宋" w:hAnsi="仿宋" w:eastAsia="仿宋" w:cs="仿宋_GB2312"/>
          <w:bCs/>
          <w:kern w:val="0"/>
          <w:sz w:val="32"/>
          <w:szCs w:val="32"/>
          <w:u w:val="single"/>
        </w:rPr>
        <w:t>1,722,847.94</w:t>
      </w:r>
      <w:r>
        <w:rPr>
          <w:rFonts w:hint="eastAsia" w:ascii="仿宋" w:hAnsi="仿宋" w:eastAsia="仿宋" w:cs="仿宋_GB2312"/>
          <w:bCs/>
          <w:kern w:val="0"/>
          <w:sz w:val="32"/>
          <w:szCs w:val="32"/>
        </w:rPr>
        <w:t>元，决算数</w:t>
      </w:r>
      <w:r>
        <w:rPr>
          <w:rFonts w:hint="eastAsia" w:ascii="仿宋" w:hAnsi="仿宋" w:eastAsia="仿宋" w:cs="仿宋_GB2312"/>
          <w:bCs/>
          <w:kern w:val="0"/>
          <w:sz w:val="32"/>
          <w:szCs w:val="32"/>
          <w:lang w:eastAsia="zh-CN"/>
        </w:rPr>
        <w:t>小于</w:t>
      </w:r>
      <w:r>
        <w:rPr>
          <w:rFonts w:hint="eastAsia" w:ascii="仿宋" w:hAnsi="仿宋" w:eastAsia="仿宋" w:cs="仿宋_GB2312"/>
          <w:bCs/>
          <w:kern w:val="0"/>
          <w:sz w:val="32"/>
          <w:szCs w:val="32"/>
        </w:rPr>
        <w:t>预算数的主要原因是：当年拨付</w:t>
      </w:r>
      <w:r>
        <w:rPr>
          <w:rFonts w:hint="eastAsia" w:ascii="仿宋" w:hAnsi="仿宋" w:eastAsia="仿宋" w:cs="仿宋_GB2312"/>
          <w:bCs/>
          <w:kern w:val="0"/>
          <w:sz w:val="32"/>
          <w:szCs w:val="32"/>
          <w:lang w:eastAsia="zh-CN"/>
        </w:rPr>
        <w:t>各村党建经费及乡村治理经费及职工伙食费等</w:t>
      </w:r>
      <w:r>
        <w:rPr>
          <w:rFonts w:hint="eastAsia" w:ascii="仿宋" w:hAnsi="仿宋" w:eastAsia="仿宋" w:cs="仿宋_GB2312"/>
          <w:bCs/>
          <w:kern w:val="0"/>
          <w:sz w:val="32"/>
          <w:szCs w:val="32"/>
        </w:rPr>
        <w:t>；</w:t>
      </w:r>
    </w:p>
    <w:p>
      <w:pPr>
        <w:spacing w:line="560" w:lineRule="exact"/>
        <w:ind w:firstLine="643" w:firstLineChars="200"/>
        <w:rPr>
          <w:rFonts w:ascii="仿宋" w:hAnsi="仿宋" w:eastAsia="仿宋" w:cs="仿宋_GB2312"/>
          <w:bCs/>
          <w:kern w:val="0"/>
          <w:sz w:val="32"/>
          <w:szCs w:val="32"/>
        </w:rPr>
      </w:pPr>
      <w:r>
        <w:rPr>
          <w:rFonts w:hint="eastAsia" w:ascii="仿宋" w:hAnsi="仿宋" w:eastAsia="仿宋" w:cs="仿宋_GB2312"/>
          <w:b/>
          <w:bCs/>
          <w:kern w:val="0"/>
          <w:sz w:val="32"/>
          <w:szCs w:val="32"/>
        </w:rPr>
        <w:t>4、一般公共服务支出（类）其他政府办公厅（室）及相关机构事务支出（项）。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222</w:t>
      </w:r>
      <w:r>
        <w:rPr>
          <w:rFonts w:ascii="仿宋" w:hAnsi="仿宋" w:eastAsia="仿宋" w:cs="仿宋_GB2312"/>
          <w:bCs/>
          <w:kern w:val="0"/>
          <w:sz w:val="32"/>
          <w:szCs w:val="32"/>
          <w:u w:val="single"/>
        </w:rPr>
        <w:t>,</w:t>
      </w:r>
      <w:r>
        <w:rPr>
          <w:rFonts w:hint="eastAsia" w:ascii="仿宋" w:hAnsi="仿宋" w:eastAsia="仿宋" w:cs="仿宋_GB2312"/>
          <w:bCs/>
          <w:kern w:val="0"/>
          <w:sz w:val="32"/>
          <w:szCs w:val="32"/>
          <w:u w:val="single"/>
        </w:rPr>
        <w:t>820</w:t>
      </w:r>
      <w:r>
        <w:rPr>
          <w:rFonts w:hint="eastAsia" w:ascii="仿宋" w:hAnsi="仿宋" w:eastAsia="仿宋" w:cs="仿宋_GB2312"/>
          <w:bCs/>
          <w:kern w:val="0"/>
          <w:sz w:val="32"/>
          <w:szCs w:val="32"/>
          <w:u w:val="single"/>
          <w:lang w:val="en-US" w:eastAsia="zh-CN"/>
        </w:rPr>
        <w:t>.00</w:t>
      </w:r>
      <w:r>
        <w:rPr>
          <w:rFonts w:hint="eastAsia" w:ascii="仿宋" w:hAnsi="仿宋" w:eastAsia="仿宋" w:cs="仿宋_GB2312"/>
          <w:bCs/>
          <w:kern w:val="0"/>
          <w:sz w:val="32"/>
          <w:szCs w:val="32"/>
        </w:rPr>
        <w:t>元，支出决算为</w:t>
      </w:r>
      <w:r>
        <w:rPr>
          <w:rFonts w:hint="eastAsia" w:ascii="仿宋" w:hAnsi="仿宋" w:eastAsia="仿宋" w:cs="仿宋_GB2312"/>
          <w:bCs/>
          <w:kern w:val="0"/>
          <w:sz w:val="32"/>
          <w:szCs w:val="32"/>
          <w:u w:val="single"/>
          <w:lang w:val="en-US" w:eastAsia="zh-CN"/>
        </w:rPr>
        <w:t>213</w:t>
      </w:r>
      <w:r>
        <w:rPr>
          <w:rFonts w:ascii="仿宋" w:hAnsi="仿宋" w:eastAsia="仿宋" w:cs="仿宋_GB2312"/>
          <w:bCs/>
          <w:kern w:val="0"/>
          <w:sz w:val="32"/>
          <w:szCs w:val="32"/>
          <w:u w:val="single"/>
        </w:rPr>
        <w:t>,</w:t>
      </w:r>
      <w:r>
        <w:rPr>
          <w:rFonts w:hint="eastAsia" w:ascii="仿宋" w:hAnsi="仿宋" w:eastAsia="仿宋" w:cs="仿宋_GB2312"/>
          <w:bCs/>
          <w:kern w:val="0"/>
          <w:sz w:val="32"/>
          <w:szCs w:val="32"/>
          <w:u w:val="single"/>
          <w:lang w:val="en-US" w:eastAsia="zh-CN"/>
        </w:rPr>
        <w:t>517</w:t>
      </w:r>
      <w:r>
        <w:rPr>
          <w:rFonts w:ascii="仿宋" w:hAnsi="仿宋" w:eastAsia="仿宋" w:cs="仿宋_GB2312"/>
          <w:bCs/>
          <w:kern w:val="0"/>
          <w:sz w:val="32"/>
          <w:szCs w:val="32"/>
          <w:u w:val="single"/>
        </w:rPr>
        <w:t>,</w:t>
      </w:r>
      <w:r>
        <w:rPr>
          <w:rFonts w:hint="eastAsia" w:ascii="仿宋" w:hAnsi="仿宋" w:eastAsia="仿宋" w:cs="仿宋_GB2312"/>
          <w:bCs/>
          <w:kern w:val="0"/>
          <w:sz w:val="32"/>
          <w:szCs w:val="32"/>
          <w:u w:val="single"/>
          <w:lang w:val="en-US" w:eastAsia="zh-CN"/>
        </w:rPr>
        <w:t>062</w:t>
      </w:r>
      <w:r>
        <w:rPr>
          <w:rFonts w:ascii="仿宋" w:hAnsi="仿宋" w:eastAsia="仿宋" w:cs="仿宋_GB2312"/>
          <w:bCs/>
          <w:kern w:val="0"/>
          <w:sz w:val="32"/>
          <w:szCs w:val="32"/>
          <w:u w:val="single"/>
        </w:rPr>
        <w:t>.</w:t>
      </w:r>
      <w:r>
        <w:rPr>
          <w:rFonts w:hint="eastAsia" w:ascii="仿宋" w:hAnsi="仿宋" w:eastAsia="仿宋" w:cs="仿宋_GB2312"/>
          <w:bCs/>
          <w:kern w:val="0"/>
          <w:sz w:val="32"/>
          <w:szCs w:val="32"/>
          <w:u w:val="single"/>
          <w:lang w:val="en-US" w:eastAsia="zh-CN"/>
        </w:rPr>
        <w:t>27</w:t>
      </w:r>
      <w:r>
        <w:rPr>
          <w:rFonts w:hint="eastAsia" w:ascii="仿宋" w:hAnsi="仿宋" w:eastAsia="仿宋" w:cs="仿宋_GB2312"/>
          <w:bCs/>
          <w:kern w:val="0"/>
          <w:sz w:val="32"/>
          <w:szCs w:val="32"/>
        </w:rPr>
        <w:t>元</w:t>
      </w:r>
      <w:r>
        <w:rPr>
          <w:rFonts w:hint="eastAsia" w:ascii="仿宋" w:hAnsi="仿宋" w:eastAsia="仿宋" w:cs="仿宋_GB2312"/>
          <w:bCs/>
          <w:kern w:val="0"/>
          <w:sz w:val="32"/>
          <w:szCs w:val="32"/>
          <w:lang w:eastAsia="zh-CN"/>
        </w:rPr>
        <w:t>，</w:t>
      </w:r>
      <w:r>
        <w:rPr>
          <w:rFonts w:hint="eastAsia" w:ascii="仿宋" w:hAnsi="仿宋" w:eastAsia="仿宋" w:cs="仿宋_GB2312"/>
          <w:bCs/>
          <w:kern w:val="0"/>
          <w:sz w:val="32"/>
          <w:szCs w:val="32"/>
        </w:rPr>
        <w:t>决算数大于预算数的主要原因是：当年</w:t>
      </w:r>
      <w:r>
        <w:rPr>
          <w:rFonts w:hint="eastAsia" w:ascii="仿宋" w:hAnsi="仿宋" w:eastAsia="仿宋" w:cs="仿宋_GB2312"/>
          <w:bCs/>
          <w:kern w:val="0"/>
          <w:sz w:val="32"/>
          <w:szCs w:val="32"/>
          <w:lang w:eastAsia="zh-CN"/>
        </w:rPr>
        <w:t>支付人居环境整治项目及合坊并寺征收补偿款等</w:t>
      </w:r>
      <w:r>
        <w:rPr>
          <w:rFonts w:hint="eastAsia" w:ascii="仿宋" w:hAnsi="仿宋" w:eastAsia="仿宋" w:cs="仿宋_GB2312"/>
          <w:bCs/>
          <w:kern w:val="0"/>
          <w:sz w:val="32"/>
          <w:szCs w:val="32"/>
        </w:rPr>
        <w:t>；</w:t>
      </w:r>
    </w:p>
    <w:p>
      <w:pPr>
        <w:spacing w:line="560" w:lineRule="exact"/>
        <w:ind w:firstLine="640" w:firstLineChars="200"/>
        <w:rPr>
          <w:rFonts w:ascii="仿宋" w:hAnsi="仿宋" w:eastAsia="仿宋" w:cs="仿宋_GB2312"/>
          <w:bCs/>
          <w:kern w:val="0"/>
          <w:sz w:val="32"/>
          <w:szCs w:val="32"/>
        </w:rPr>
      </w:pPr>
    </w:p>
    <w:p>
      <w:pPr>
        <w:spacing w:line="560" w:lineRule="exact"/>
        <w:rPr>
          <w:rFonts w:ascii="仿宋" w:hAnsi="仿宋" w:eastAsia="仿宋" w:cs="仿宋_GB2312"/>
          <w:bCs/>
          <w:kern w:val="0"/>
          <w:sz w:val="32"/>
          <w:szCs w:val="32"/>
        </w:rPr>
      </w:pPr>
    </w:p>
    <w:p>
      <w:pPr>
        <w:numPr>
          <w:ilvl w:val="0"/>
          <w:numId w:val="0"/>
        </w:numPr>
        <w:spacing w:line="560" w:lineRule="exact"/>
        <w:ind w:firstLine="643" w:firstLineChars="200"/>
        <w:rPr>
          <w:rFonts w:hint="eastAsia" w:ascii="仿宋" w:hAnsi="仿宋" w:eastAsia="仿宋" w:cs="仿宋_GB2312"/>
          <w:bCs/>
          <w:kern w:val="0"/>
          <w:sz w:val="32"/>
          <w:szCs w:val="32"/>
        </w:rPr>
      </w:pPr>
      <w:r>
        <w:rPr>
          <w:rFonts w:hint="eastAsia" w:ascii="仿宋" w:hAnsi="仿宋" w:eastAsia="仿宋" w:cs="仿宋_GB2312"/>
          <w:b/>
          <w:bCs/>
          <w:kern w:val="0"/>
          <w:sz w:val="32"/>
          <w:szCs w:val="32"/>
          <w:lang w:val="en-US" w:eastAsia="zh-CN"/>
        </w:rPr>
        <w:t>5</w:t>
      </w:r>
      <w:r>
        <w:rPr>
          <w:rFonts w:hint="eastAsia" w:ascii="仿宋" w:hAnsi="仿宋" w:eastAsia="仿宋" w:cs="仿宋_GB2312"/>
          <w:b/>
          <w:bCs/>
          <w:kern w:val="0"/>
          <w:sz w:val="32"/>
          <w:szCs w:val="32"/>
        </w:rPr>
        <w:t>、一般公共服务支出（类）组织事务（款）一般行政管理事务（项）。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rPr>
        <w:t>元，支出决算为</w:t>
      </w:r>
      <w:r>
        <w:rPr>
          <w:rFonts w:ascii="仿宋" w:hAnsi="仿宋" w:eastAsia="仿宋" w:cs="仿宋_GB2312"/>
          <w:bCs/>
          <w:kern w:val="0"/>
          <w:sz w:val="32"/>
          <w:szCs w:val="32"/>
          <w:u w:val="single"/>
        </w:rPr>
        <w:t>2,081,198.60</w:t>
      </w:r>
      <w:r>
        <w:rPr>
          <w:rFonts w:hint="eastAsia" w:ascii="仿宋" w:hAnsi="仿宋" w:eastAsia="仿宋" w:cs="仿宋_GB2312"/>
          <w:bCs/>
          <w:kern w:val="0"/>
          <w:sz w:val="32"/>
          <w:szCs w:val="32"/>
        </w:rPr>
        <w:t>元．决算数大于预算数的主要原因是：当年</w:t>
      </w:r>
      <w:r>
        <w:rPr>
          <w:rFonts w:hint="eastAsia" w:ascii="仿宋" w:hAnsi="仿宋" w:eastAsia="仿宋" w:cs="仿宋_GB2312"/>
          <w:bCs/>
          <w:kern w:val="0"/>
          <w:sz w:val="32"/>
          <w:szCs w:val="32"/>
          <w:lang w:eastAsia="zh-CN"/>
        </w:rPr>
        <w:t>支付</w:t>
      </w:r>
      <w:r>
        <w:rPr>
          <w:rFonts w:hint="eastAsia" w:ascii="仿宋" w:hAnsi="仿宋" w:eastAsia="仿宋" w:cs="仿宋_GB2312"/>
          <w:bCs/>
          <w:kern w:val="0"/>
          <w:sz w:val="32"/>
          <w:szCs w:val="32"/>
        </w:rPr>
        <w:t>发展壮大村集体经济项目资金</w:t>
      </w:r>
      <w:r>
        <w:rPr>
          <w:rFonts w:hint="eastAsia" w:ascii="仿宋" w:hAnsi="仿宋" w:eastAsia="仿宋" w:cs="仿宋_GB2312"/>
          <w:bCs/>
          <w:kern w:val="0"/>
          <w:sz w:val="32"/>
          <w:szCs w:val="32"/>
          <w:lang w:eastAsia="zh-CN"/>
        </w:rPr>
        <w:t>及</w:t>
      </w:r>
      <w:r>
        <w:rPr>
          <w:rFonts w:hint="eastAsia" w:ascii="仿宋" w:hAnsi="仿宋" w:eastAsia="仿宋" w:cs="仿宋_GB2312"/>
          <w:bCs/>
          <w:kern w:val="0"/>
          <w:sz w:val="32"/>
          <w:szCs w:val="32"/>
        </w:rPr>
        <w:t>为民发展资金</w:t>
      </w:r>
      <w:r>
        <w:rPr>
          <w:rFonts w:hint="eastAsia" w:ascii="仿宋" w:hAnsi="仿宋" w:eastAsia="仿宋" w:cs="仿宋_GB2312"/>
          <w:bCs/>
          <w:kern w:val="0"/>
          <w:sz w:val="32"/>
          <w:szCs w:val="32"/>
          <w:lang w:eastAsia="zh-CN"/>
        </w:rPr>
        <w:t>等</w:t>
      </w:r>
      <w:r>
        <w:rPr>
          <w:rFonts w:hint="eastAsia" w:ascii="仿宋" w:hAnsi="仿宋" w:eastAsia="仿宋" w:cs="仿宋_GB2312"/>
          <w:bCs/>
          <w:kern w:val="0"/>
          <w:sz w:val="32"/>
          <w:szCs w:val="32"/>
        </w:rPr>
        <w:t>；</w:t>
      </w:r>
    </w:p>
    <w:p>
      <w:pPr>
        <w:numPr>
          <w:ilvl w:val="0"/>
          <w:numId w:val="2"/>
        </w:numPr>
        <w:spacing w:line="560" w:lineRule="exact"/>
        <w:ind w:firstLine="643" w:firstLineChars="200"/>
        <w:rPr>
          <w:rFonts w:hint="eastAsia" w:ascii="仿宋" w:hAnsi="仿宋" w:eastAsia="仿宋" w:cs="仿宋_GB2312"/>
          <w:bCs/>
          <w:kern w:val="0"/>
          <w:sz w:val="32"/>
          <w:szCs w:val="32"/>
        </w:rPr>
      </w:pPr>
      <w:r>
        <w:rPr>
          <w:rFonts w:hint="eastAsia" w:ascii="仿宋" w:hAnsi="仿宋" w:eastAsia="仿宋" w:cs="仿宋_GB2312"/>
          <w:b/>
          <w:bCs/>
          <w:kern w:val="0"/>
          <w:sz w:val="32"/>
          <w:szCs w:val="32"/>
        </w:rPr>
        <w:t>一般公共服务支出（类）组织事务（款）</w:t>
      </w:r>
      <w:r>
        <w:rPr>
          <w:rFonts w:hint="eastAsia" w:ascii="仿宋" w:hAnsi="仿宋" w:eastAsia="仿宋" w:cs="仿宋_GB2312"/>
          <w:b/>
          <w:bCs/>
          <w:kern w:val="0"/>
          <w:sz w:val="32"/>
          <w:szCs w:val="32"/>
          <w:lang w:eastAsia="zh-CN"/>
        </w:rPr>
        <w:t>其他组织事务支出</w:t>
      </w:r>
      <w:r>
        <w:rPr>
          <w:rFonts w:hint="eastAsia" w:ascii="仿宋" w:hAnsi="仿宋" w:eastAsia="仿宋" w:cs="仿宋_GB2312"/>
          <w:b/>
          <w:bCs/>
          <w:kern w:val="0"/>
          <w:sz w:val="32"/>
          <w:szCs w:val="32"/>
        </w:rPr>
        <w:t>（项）</w:t>
      </w:r>
      <w:r>
        <w:rPr>
          <w:rFonts w:hint="eastAsia" w:ascii="仿宋" w:hAnsi="仿宋" w:eastAsia="仿宋" w:cs="仿宋_GB2312"/>
          <w:bCs/>
          <w:kern w:val="0"/>
          <w:sz w:val="32"/>
          <w:szCs w:val="32"/>
        </w:rPr>
        <w:t>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rPr>
        <w:t>元，支出决算为</w:t>
      </w:r>
      <w:r>
        <w:rPr>
          <w:rFonts w:hint="eastAsia" w:ascii="仿宋" w:hAnsi="仿宋" w:eastAsia="仿宋" w:cs="仿宋_GB2312"/>
          <w:bCs/>
          <w:kern w:val="0"/>
          <w:sz w:val="32"/>
          <w:szCs w:val="32"/>
          <w:u w:val="single"/>
          <w:lang w:val="en-US" w:eastAsia="zh-CN"/>
        </w:rPr>
        <w:t>1</w:t>
      </w:r>
      <w:r>
        <w:rPr>
          <w:rFonts w:ascii="仿宋" w:hAnsi="仿宋" w:eastAsia="仿宋" w:cs="仿宋_GB2312"/>
          <w:bCs/>
          <w:kern w:val="0"/>
          <w:sz w:val="32"/>
          <w:szCs w:val="32"/>
          <w:u w:val="single"/>
        </w:rPr>
        <w:t>,</w:t>
      </w:r>
      <w:r>
        <w:rPr>
          <w:rFonts w:hint="eastAsia" w:ascii="仿宋" w:hAnsi="仿宋" w:eastAsia="仿宋" w:cs="仿宋_GB2312"/>
          <w:bCs/>
          <w:kern w:val="0"/>
          <w:sz w:val="32"/>
          <w:szCs w:val="32"/>
          <w:u w:val="single"/>
          <w:lang w:val="en-US" w:eastAsia="zh-CN"/>
        </w:rPr>
        <w:t>963</w:t>
      </w:r>
      <w:r>
        <w:rPr>
          <w:rFonts w:ascii="仿宋" w:hAnsi="仿宋" w:eastAsia="仿宋" w:cs="仿宋_GB2312"/>
          <w:bCs/>
          <w:kern w:val="0"/>
          <w:sz w:val="32"/>
          <w:szCs w:val="32"/>
          <w:u w:val="single"/>
        </w:rPr>
        <w:t>,</w:t>
      </w:r>
      <w:r>
        <w:rPr>
          <w:rFonts w:hint="eastAsia" w:ascii="仿宋" w:hAnsi="仿宋" w:eastAsia="仿宋" w:cs="仿宋_GB2312"/>
          <w:bCs/>
          <w:kern w:val="0"/>
          <w:sz w:val="32"/>
          <w:szCs w:val="32"/>
          <w:u w:val="single"/>
          <w:lang w:val="en-US" w:eastAsia="zh-CN"/>
        </w:rPr>
        <w:t>719</w:t>
      </w:r>
      <w:r>
        <w:rPr>
          <w:rFonts w:ascii="仿宋" w:hAnsi="仿宋" w:eastAsia="仿宋" w:cs="仿宋_GB2312"/>
          <w:bCs/>
          <w:kern w:val="0"/>
          <w:sz w:val="32"/>
          <w:szCs w:val="32"/>
          <w:u w:val="single"/>
        </w:rPr>
        <w:t>.</w:t>
      </w:r>
      <w:r>
        <w:rPr>
          <w:rFonts w:hint="eastAsia" w:ascii="仿宋" w:hAnsi="仿宋" w:eastAsia="仿宋" w:cs="仿宋_GB2312"/>
          <w:bCs/>
          <w:kern w:val="0"/>
          <w:sz w:val="32"/>
          <w:szCs w:val="32"/>
          <w:u w:val="single"/>
          <w:lang w:val="en-US" w:eastAsia="zh-CN"/>
        </w:rPr>
        <w:t>04</w:t>
      </w:r>
      <w:r>
        <w:rPr>
          <w:rFonts w:hint="eastAsia" w:ascii="仿宋" w:hAnsi="仿宋" w:eastAsia="仿宋" w:cs="仿宋_GB2312"/>
          <w:bCs/>
          <w:kern w:val="0"/>
          <w:sz w:val="32"/>
          <w:szCs w:val="32"/>
        </w:rPr>
        <w:t>元．决算数大于预算数的主要原因是：当年</w:t>
      </w:r>
      <w:r>
        <w:rPr>
          <w:rFonts w:hint="eastAsia" w:ascii="仿宋" w:hAnsi="仿宋" w:eastAsia="仿宋" w:cs="仿宋_GB2312"/>
          <w:bCs/>
          <w:kern w:val="0"/>
          <w:sz w:val="32"/>
          <w:szCs w:val="32"/>
          <w:lang w:eastAsia="zh-CN"/>
        </w:rPr>
        <w:t>支付</w:t>
      </w:r>
      <w:r>
        <w:rPr>
          <w:rFonts w:hint="eastAsia" w:ascii="仿宋" w:hAnsi="仿宋" w:eastAsia="仿宋" w:cs="仿宋_GB2312"/>
          <w:bCs/>
          <w:kern w:val="0"/>
          <w:sz w:val="32"/>
          <w:szCs w:val="32"/>
        </w:rPr>
        <w:t>民发展资金</w:t>
      </w:r>
      <w:r>
        <w:rPr>
          <w:rFonts w:hint="eastAsia" w:ascii="仿宋" w:hAnsi="仿宋" w:eastAsia="仿宋" w:cs="仿宋_GB2312"/>
          <w:bCs/>
          <w:kern w:val="0"/>
          <w:sz w:val="32"/>
          <w:szCs w:val="32"/>
          <w:lang w:eastAsia="zh-CN"/>
        </w:rPr>
        <w:t>等</w:t>
      </w:r>
      <w:r>
        <w:rPr>
          <w:rFonts w:hint="eastAsia" w:ascii="仿宋" w:hAnsi="仿宋" w:eastAsia="仿宋" w:cs="仿宋_GB2312"/>
          <w:bCs/>
          <w:kern w:val="0"/>
          <w:sz w:val="32"/>
          <w:szCs w:val="32"/>
        </w:rPr>
        <w:t>；</w:t>
      </w:r>
    </w:p>
    <w:p>
      <w:pPr>
        <w:numPr>
          <w:ilvl w:val="0"/>
          <w:numId w:val="2"/>
        </w:numPr>
        <w:spacing w:line="560" w:lineRule="exact"/>
        <w:ind w:left="0" w:leftChars="0" w:firstLine="643" w:firstLineChars="200"/>
        <w:rPr>
          <w:rFonts w:hint="eastAsia" w:ascii="仿宋" w:hAnsi="仿宋" w:eastAsia="仿宋" w:cs="仿宋_GB2312"/>
          <w:bCs/>
          <w:kern w:val="0"/>
          <w:sz w:val="32"/>
          <w:szCs w:val="32"/>
          <w:lang w:val="en-US" w:eastAsia="zh-CN"/>
        </w:rPr>
      </w:pPr>
      <w:r>
        <w:rPr>
          <w:rFonts w:hint="eastAsia" w:ascii="仿宋" w:hAnsi="仿宋" w:eastAsia="仿宋" w:cs="仿宋_GB2312"/>
          <w:b/>
          <w:bCs/>
          <w:kern w:val="0"/>
          <w:sz w:val="32"/>
          <w:szCs w:val="32"/>
        </w:rPr>
        <w:t>一般公共服务支出（类）宣传事务（款） 其他宣传事务支出（项）。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rPr>
        <w:t>元，支出决算为</w:t>
      </w:r>
      <w:r>
        <w:rPr>
          <w:rFonts w:ascii="仿宋" w:hAnsi="仿宋" w:eastAsia="仿宋" w:cs="仿宋_GB2312"/>
          <w:bCs/>
          <w:kern w:val="0"/>
          <w:sz w:val="32"/>
          <w:szCs w:val="32"/>
          <w:u w:val="single"/>
        </w:rPr>
        <w:t>300,000.00</w:t>
      </w:r>
      <w:r>
        <w:rPr>
          <w:rFonts w:hint="eastAsia" w:ascii="仿宋" w:hAnsi="仿宋" w:eastAsia="仿宋" w:cs="仿宋_GB2312"/>
          <w:bCs/>
          <w:kern w:val="0"/>
          <w:sz w:val="32"/>
          <w:szCs w:val="32"/>
        </w:rPr>
        <w:t>元．决算数大于预算数的主要原因是：当年</w:t>
      </w:r>
      <w:r>
        <w:rPr>
          <w:rFonts w:hint="eastAsia" w:ascii="仿宋" w:hAnsi="仿宋" w:eastAsia="仿宋" w:cs="仿宋_GB2312"/>
          <w:bCs/>
          <w:kern w:val="0"/>
          <w:sz w:val="32"/>
          <w:szCs w:val="32"/>
          <w:lang w:eastAsia="zh-CN"/>
        </w:rPr>
        <w:t>支付创城工作经费</w:t>
      </w:r>
      <w:r>
        <w:rPr>
          <w:rFonts w:hint="eastAsia" w:ascii="仿宋" w:hAnsi="仿宋" w:eastAsia="仿宋" w:cs="仿宋_GB2312"/>
          <w:bCs/>
          <w:kern w:val="0"/>
          <w:sz w:val="32"/>
          <w:szCs w:val="32"/>
        </w:rPr>
        <w:t>；</w:t>
      </w:r>
      <w:r>
        <w:rPr>
          <w:rFonts w:hint="eastAsia" w:ascii="仿宋" w:hAnsi="仿宋" w:eastAsia="仿宋" w:cs="仿宋_GB2312"/>
          <w:bCs/>
          <w:kern w:val="0"/>
          <w:sz w:val="32"/>
          <w:szCs w:val="32"/>
          <w:lang w:val="en-US" w:eastAsia="zh-CN"/>
        </w:rPr>
        <w:t xml:space="preserve">                             </w:t>
      </w:r>
    </w:p>
    <w:p>
      <w:pPr>
        <w:numPr>
          <w:ilvl w:val="0"/>
          <w:numId w:val="2"/>
        </w:numPr>
        <w:spacing w:line="560" w:lineRule="exact"/>
        <w:ind w:left="0" w:leftChars="0" w:firstLine="643" w:firstLineChars="200"/>
        <w:rPr>
          <w:rFonts w:hint="eastAsia" w:ascii="仿宋" w:hAnsi="仿宋" w:eastAsia="仿宋" w:cs="仿宋_GB2312"/>
          <w:bCs/>
          <w:kern w:val="0"/>
          <w:sz w:val="32"/>
          <w:szCs w:val="32"/>
          <w:lang w:eastAsia="zh-CN"/>
        </w:rPr>
      </w:pPr>
      <w:r>
        <w:rPr>
          <w:rFonts w:hint="eastAsia" w:ascii="仿宋" w:hAnsi="仿宋" w:eastAsia="仿宋" w:cs="仿宋_GB2312"/>
          <w:b/>
          <w:bCs/>
          <w:kern w:val="0"/>
          <w:sz w:val="32"/>
          <w:szCs w:val="32"/>
        </w:rPr>
        <w:t>一般公共服务支出（类）统战事务（款）一般行政管理事务（项）。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rPr>
        <w:t>元，支出决算为</w:t>
      </w:r>
      <w:r>
        <w:rPr>
          <w:rFonts w:ascii="仿宋" w:hAnsi="仿宋" w:eastAsia="仿宋" w:cs="仿宋_GB2312"/>
          <w:bCs/>
          <w:kern w:val="0"/>
          <w:sz w:val="32"/>
          <w:szCs w:val="32"/>
          <w:u w:val="single"/>
        </w:rPr>
        <w:t>50,000.00</w:t>
      </w:r>
      <w:r>
        <w:rPr>
          <w:rFonts w:hint="eastAsia" w:ascii="仿宋" w:hAnsi="仿宋" w:eastAsia="仿宋" w:cs="仿宋_GB2312"/>
          <w:bCs/>
          <w:kern w:val="0"/>
          <w:sz w:val="32"/>
          <w:szCs w:val="32"/>
        </w:rPr>
        <w:t>元，决算数大于预算数的主要原因是：</w:t>
      </w:r>
      <w:r>
        <w:rPr>
          <w:rFonts w:hint="eastAsia" w:ascii="仿宋" w:hAnsi="仿宋" w:eastAsia="仿宋" w:cs="仿宋_GB2312"/>
          <w:bCs/>
          <w:kern w:val="0"/>
          <w:sz w:val="32"/>
          <w:szCs w:val="32"/>
          <w:lang w:eastAsia="zh-CN"/>
        </w:rPr>
        <w:t>少数民族发展资金</w:t>
      </w:r>
      <w:r>
        <w:rPr>
          <w:rFonts w:hint="eastAsia" w:ascii="仿宋" w:hAnsi="仿宋" w:eastAsia="仿宋" w:cs="仿宋_GB2312"/>
          <w:bCs/>
          <w:kern w:val="0"/>
          <w:sz w:val="32"/>
          <w:szCs w:val="32"/>
        </w:rPr>
        <w:t>；</w:t>
      </w:r>
    </w:p>
    <w:p>
      <w:pPr>
        <w:numPr>
          <w:ilvl w:val="0"/>
          <w:numId w:val="2"/>
        </w:numPr>
        <w:spacing w:line="560" w:lineRule="exact"/>
        <w:ind w:left="0" w:leftChars="0" w:firstLine="643" w:firstLineChars="200"/>
        <w:rPr>
          <w:rFonts w:ascii="仿宋" w:hAnsi="仿宋" w:eastAsia="仿宋" w:cs="仿宋_GB2312"/>
          <w:bCs/>
          <w:color w:val="000000"/>
          <w:kern w:val="0"/>
          <w:sz w:val="32"/>
          <w:szCs w:val="32"/>
        </w:rPr>
      </w:pPr>
      <w:r>
        <w:rPr>
          <w:rFonts w:hint="eastAsia" w:ascii="仿宋" w:hAnsi="仿宋" w:eastAsia="仿宋" w:cs="仿宋_GB2312"/>
          <w:b/>
          <w:bCs/>
          <w:color w:val="000000"/>
          <w:kern w:val="0"/>
          <w:sz w:val="32"/>
          <w:szCs w:val="32"/>
        </w:rPr>
        <w:t>社会保障和就业支出（类）行政事业单位养老支出（款）行政单位离退休（项）。</w:t>
      </w:r>
      <w:r>
        <w:rPr>
          <w:rFonts w:hint="eastAsia" w:ascii="仿宋" w:hAnsi="仿宋" w:eastAsia="仿宋" w:cs="仿宋_GB2312"/>
          <w:bCs/>
          <w:color w:val="000000"/>
          <w:kern w:val="0"/>
          <w:sz w:val="32"/>
          <w:szCs w:val="32"/>
        </w:rPr>
        <w:t>年初预算为</w:t>
      </w:r>
      <w:r>
        <w:rPr>
          <w:rFonts w:hint="eastAsia" w:ascii="仿宋" w:hAnsi="仿宋" w:eastAsia="仿宋" w:cs="仿宋_GB2312"/>
          <w:bCs/>
          <w:color w:val="000000"/>
          <w:kern w:val="0"/>
          <w:sz w:val="32"/>
          <w:szCs w:val="32"/>
          <w:u w:val="single"/>
        </w:rPr>
        <w:t>225</w:t>
      </w:r>
      <w:r>
        <w:rPr>
          <w:rFonts w:ascii="仿宋" w:hAnsi="仿宋" w:eastAsia="仿宋" w:cs="仿宋_GB2312"/>
          <w:bCs/>
          <w:color w:val="000000"/>
          <w:kern w:val="0"/>
          <w:sz w:val="32"/>
          <w:szCs w:val="32"/>
          <w:u w:val="single"/>
        </w:rPr>
        <w:t>,</w:t>
      </w:r>
      <w:r>
        <w:rPr>
          <w:rFonts w:hint="eastAsia" w:ascii="仿宋" w:hAnsi="仿宋" w:eastAsia="仿宋" w:cs="仿宋_GB2312"/>
          <w:bCs/>
          <w:color w:val="000000"/>
          <w:kern w:val="0"/>
          <w:sz w:val="32"/>
          <w:szCs w:val="32"/>
          <w:u w:val="single"/>
        </w:rPr>
        <w:t>659</w:t>
      </w:r>
      <w:r>
        <w:rPr>
          <w:rFonts w:hint="eastAsia" w:ascii="仿宋" w:hAnsi="仿宋" w:eastAsia="仿宋" w:cs="仿宋_GB2312"/>
          <w:bCs/>
          <w:color w:val="000000"/>
          <w:kern w:val="0"/>
          <w:sz w:val="32"/>
          <w:szCs w:val="32"/>
          <w:u w:val="single"/>
          <w:lang w:val="en-US" w:eastAsia="zh-CN"/>
        </w:rPr>
        <w:t>.00</w:t>
      </w:r>
      <w:r>
        <w:rPr>
          <w:rFonts w:hint="eastAsia" w:ascii="仿宋" w:hAnsi="仿宋" w:eastAsia="仿宋" w:cs="仿宋_GB2312"/>
          <w:bCs/>
          <w:color w:val="000000"/>
          <w:kern w:val="0"/>
          <w:sz w:val="32"/>
          <w:szCs w:val="32"/>
        </w:rPr>
        <w:t>元，支出决算为</w:t>
      </w:r>
      <w:r>
        <w:rPr>
          <w:rFonts w:ascii="仿宋" w:hAnsi="仿宋" w:eastAsia="仿宋" w:cs="仿宋_GB2312"/>
          <w:bCs/>
          <w:color w:val="000000"/>
          <w:kern w:val="0"/>
          <w:sz w:val="32"/>
          <w:szCs w:val="32"/>
          <w:u w:val="single"/>
        </w:rPr>
        <w:t>254,345.00</w:t>
      </w:r>
      <w:r>
        <w:rPr>
          <w:rFonts w:hint="eastAsia" w:ascii="仿宋" w:hAnsi="仿宋" w:eastAsia="仿宋" w:cs="仿宋_GB2312"/>
          <w:bCs/>
          <w:color w:val="000000"/>
          <w:kern w:val="0"/>
          <w:sz w:val="32"/>
          <w:szCs w:val="32"/>
        </w:rPr>
        <w:t>元，决算数大于预算数的主要原因是：退休人员增加，民族团结奖增加；</w:t>
      </w:r>
    </w:p>
    <w:p>
      <w:pPr>
        <w:spacing w:line="560" w:lineRule="exact"/>
        <w:ind w:firstLine="643" w:firstLineChars="200"/>
        <w:rPr>
          <w:rFonts w:ascii="仿宋" w:hAnsi="仿宋" w:eastAsia="仿宋" w:cs="仿宋_GB2312"/>
          <w:bCs/>
          <w:color w:val="000000"/>
          <w:kern w:val="0"/>
          <w:sz w:val="32"/>
          <w:szCs w:val="32"/>
        </w:rPr>
      </w:pPr>
      <w:r>
        <w:rPr>
          <w:rFonts w:hint="eastAsia" w:ascii="仿宋" w:hAnsi="仿宋" w:eastAsia="仿宋" w:cs="仿宋_GB2312"/>
          <w:b/>
          <w:bCs/>
          <w:color w:val="000000"/>
          <w:kern w:val="0"/>
          <w:sz w:val="32"/>
          <w:szCs w:val="32"/>
        </w:rPr>
        <w:t>10、社会保障和就业支出（类）行政事业单位养老支出（款）  事业单位离退休（项）。</w:t>
      </w:r>
      <w:r>
        <w:rPr>
          <w:rFonts w:hint="eastAsia" w:ascii="仿宋" w:hAnsi="仿宋" w:eastAsia="仿宋" w:cs="仿宋_GB2312"/>
          <w:bCs/>
          <w:color w:val="000000"/>
          <w:kern w:val="0"/>
          <w:sz w:val="32"/>
          <w:szCs w:val="32"/>
        </w:rPr>
        <w:t>年初预算为</w:t>
      </w:r>
      <w:r>
        <w:rPr>
          <w:rFonts w:hint="eastAsia" w:ascii="仿宋" w:hAnsi="仿宋" w:eastAsia="仿宋" w:cs="仿宋_GB2312"/>
          <w:bCs/>
          <w:color w:val="000000"/>
          <w:kern w:val="0"/>
          <w:sz w:val="32"/>
          <w:szCs w:val="32"/>
          <w:u w:val="single"/>
        </w:rPr>
        <w:t>0</w:t>
      </w:r>
      <w:r>
        <w:rPr>
          <w:rFonts w:hint="eastAsia" w:ascii="仿宋" w:hAnsi="仿宋" w:eastAsia="仿宋" w:cs="仿宋_GB2312"/>
          <w:bCs/>
          <w:color w:val="000000"/>
          <w:kern w:val="0"/>
          <w:sz w:val="32"/>
          <w:szCs w:val="32"/>
        </w:rPr>
        <w:t>元，支出决算为</w:t>
      </w:r>
      <w:r>
        <w:rPr>
          <w:rFonts w:ascii="仿宋" w:hAnsi="仿宋" w:eastAsia="仿宋" w:cs="仿宋_GB2312"/>
          <w:bCs/>
          <w:color w:val="000000"/>
          <w:kern w:val="0"/>
          <w:sz w:val="32"/>
          <w:szCs w:val="32"/>
          <w:u w:val="single"/>
        </w:rPr>
        <w:t>13,755.19</w:t>
      </w:r>
      <w:r>
        <w:rPr>
          <w:rFonts w:hint="eastAsia" w:ascii="仿宋" w:hAnsi="仿宋" w:eastAsia="仿宋" w:cs="仿宋_GB2312"/>
          <w:bCs/>
          <w:color w:val="000000"/>
          <w:kern w:val="0"/>
          <w:sz w:val="32"/>
          <w:szCs w:val="32"/>
        </w:rPr>
        <w:t>元，决算数大于预算数的主要原因是：</w:t>
      </w:r>
      <w:r>
        <w:rPr>
          <w:rFonts w:hint="eastAsia" w:ascii="仿宋" w:hAnsi="仿宋" w:eastAsia="仿宋" w:cs="仿宋_GB2312"/>
          <w:bCs/>
          <w:color w:val="000000"/>
          <w:kern w:val="0"/>
          <w:sz w:val="32"/>
          <w:szCs w:val="32"/>
          <w:lang w:eastAsia="zh-CN"/>
        </w:rPr>
        <w:t>本年度支付</w:t>
      </w:r>
      <w:r>
        <w:rPr>
          <w:rFonts w:hint="eastAsia" w:ascii="仿宋" w:hAnsi="仿宋" w:eastAsia="仿宋" w:cs="仿宋_GB2312"/>
          <w:bCs/>
          <w:color w:val="000000"/>
          <w:kern w:val="0"/>
          <w:sz w:val="32"/>
          <w:szCs w:val="32"/>
        </w:rPr>
        <w:t>退休人员民族团结奖；</w:t>
      </w:r>
    </w:p>
    <w:p>
      <w:pPr>
        <w:spacing w:line="560" w:lineRule="exact"/>
        <w:ind w:firstLine="643" w:firstLineChars="200"/>
        <w:rPr>
          <w:rFonts w:ascii="仿宋" w:hAnsi="仿宋" w:eastAsia="仿宋" w:cs="仿宋_GB2312"/>
          <w:bCs/>
          <w:color w:val="000000"/>
          <w:kern w:val="0"/>
          <w:sz w:val="32"/>
          <w:szCs w:val="32"/>
        </w:rPr>
      </w:pPr>
      <w:r>
        <w:rPr>
          <w:rFonts w:hint="eastAsia" w:ascii="仿宋" w:hAnsi="仿宋" w:eastAsia="仿宋" w:cs="仿宋_GB2312"/>
          <w:b/>
          <w:bCs/>
          <w:color w:val="000000"/>
          <w:kern w:val="0"/>
          <w:sz w:val="32"/>
          <w:szCs w:val="32"/>
        </w:rPr>
        <w:t>11、社会保障和就业支出（类）行政事业单位养老支出（款）机关事业单位基本养老保险缴费支出（项）。</w:t>
      </w:r>
      <w:r>
        <w:rPr>
          <w:rFonts w:hint="eastAsia" w:ascii="仿宋" w:hAnsi="仿宋" w:eastAsia="仿宋" w:cs="仿宋_GB2312"/>
          <w:bCs/>
          <w:color w:val="000000"/>
          <w:kern w:val="0"/>
          <w:sz w:val="32"/>
          <w:szCs w:val="32"/>
        </w:rPr>
        <w:t>年初预算为</w:t>
      </w:r>
      <w:r>
        <w:rPr>
          <w:rFonts w:hint="eastAsia" w:ascii="仿宋" w:hAnsi="仿宋" w:eastAsia="仿宋" w:cs="仿宋_GB2312"/>
          <w:bCs/>
          <w:color w:val="000000"/>
          <w:kern w:val="0"/>
          <w:sz w:val="32"/>
          <w:szCs w:val="32"/>
          <w:u w:val="single"/>
        </w:rPr>
        <w:t>550</w:t>
      </w:r>
      <w:r>
        <w:rPr>
          <w:rFonts w:ascii="仿宋" w:hAnsi="仿宋" w:eastAsia="仿宋" w:cs="仿宋_GB2312"/>
          <w:bCs/>
          <w:color w:val="000000"/>
          <w:kern w:val="0"/>
          <w:sz w:val="32"/>
          <w:szCs w:val="32"/>
          <w:u w:val="single"/>
        </w:rPr>
        <w:t>,</w:t>
      </w:r>
      <w:r>
        <w:rPr>
          <w:rFonts w:hint="eastAsia" w:ascii="仿宋" w:hAnsi="仿宋" w:eastAsia="仿宋" w:cs="仿宋_GB2312"/>
          <w:bCs/>
          <w:color w:val="000000"/>
          <w:kern w:val="0"/>
          <w:sz w:val="32"/>
          <w:szCs w:val="32"/>
          <w:u w:val="single"/>
        </w:rPr>
        <w:t>398</w:t>
      </w:r>
      <w:r>
        <w:rPr>
          <w:rFonts w:hint="eastAsia" w:ascii="仿宋" w:hAnsi="仿宋" w:eastAsia="仿宋" w:cs="仿宋_GB2312"/>
          <w:bCs/>
          <w:color w:val="000000"/>
          <w:kern w:val="0"/>
          <w:sz w:val="32"/>
          <w:szCs w:val="32"/>
          <w:u w:val="single"/>
          <w:lang w:val="en-US" w:eastAsia="zh-CN"/>
        </w:rPr>
        <w:t>.00</w:t>
      </w:r>
      <w:r>
        <w:rPr>
          <w:rFonts w:hint="eastAsia" w:ascii="仿宋" w:hAnsi="仿宋" w:eastAsia="仿宋" w:cs="仿宋_GB2312"/>
          <w:bCs/>
          <w:color w:val="000000"/>
          <w:kern w:val="0"/>
          <w:sz w:val="32"/>
          <w:szCs w:val="32"/>
        </w:rPr>
        <w:t>元，支出决算为</w:t>
      </w:r>
      <w:r>
        <w:rPr>
          <w:rFonts w:ascii="仿宋" w:hAnsi="仿宋" w:eastAsia="仿宋" w:cs="仿宋_GB2312"/>
          <w:bCs/>
          <w:color w:val="000000"/>
          <w:kern w:val="0"/>
          <w:sz w:val="32"/>
          <w:szCs w:val="32"/>
          <w:u w:val="single"/>
        </w:rPr>
        <w:t>908,169.65</w:t>
      </w:r>
      <w:r>
        <w:rPr>
          <w:rFonts w:hint="eastAsia" w:ascii="仿宋" w:hAnsi="仿宋" w:eastAsia="仿宋" w:cs="仿宋_GB2312"/>
          <w:bCs/>
          <w:color w:val="000000"/>
          <w:kern w:val="0"/>
          <w:sz w:val="32"/>
          <w:szCs w:val="32"/>
        </w:rPr>
        <w:t>元，决算数</w:t>
      </w:r>
      <w:r>
        <w:rPr>
          <w:rFonts w:hint="eastAsia" w:ascii="仿宋" w:hAnsi="仿宋" w:eastAsia="仿宋" w:cs="仿宋_GB2312"/>
          <w:bCs/>
          <w:color w:val="000000"/>
          <w:kern w:val="0"/>
          <w:sz w:val="32"/>
          <w:szCs w:val="32"/>
          <w:lang w:eastAsia="zh-CN"/>
        </w:rPr>
        <w:t>大于</w:t>
      </w:r>
      <w:r>
        <w:rPr>
          <w:rFonts w:hint="eastAsia" w:ascii="仿宋" w:hAnsi="仿宋" w:eastAsia="仿宋" w:cs="仿宋_GB2312"/>
          <w:bCs/>
          <w:color w:val="000000"/>
          <w:kern w:val="0"/>
          <w:sz w:val="32"/>
          <w:szCs w:val="32"/>
        </w:rPr>
        <w:t>预算数的主要原因是：</w:t>
      </w:r>
      <w:r>
        <w:rPr>
          <w:rFonts w:hint="eastAsia" w:ascii="仿宋" w:hAnsi="仿宋" w:eastAsia="仿宋"/>
          <w:color w:val="000000"/>
          <w:sz w:val="32"/>
          <w:szCs w:val="32"/>
        </w:rPr>
        <w:t>机关事业单位人员</w:t>
      </w:r>
      <w:r>
        <w:rPr>
          <w:rFonts w:hint="eastAsia" w:ascii="仿宋" w:hAnsi="仿宋" w:eastAsia="仿宋"/>
          <w:color w:val="000000"/>
          <w:sz w:val="32"/>
          <w:szCs w:val="32"/>
          <w:lang w:eastAsia="zh-CN"/>
        </w:rPr>
        <w:t>增加</w:t>
      </w:r>
      <w:r>
        <w:rPr>
          <w:rFonts w:hint="eastAsia" w:ascii="仿宋" w:hAnsi="仿宋" w:eastAsia="仿宋"/>
          <w:color w:val="000000"/>
          <w:sz w:val="32"/>
          <w:szCs w:val="32"/>
        </w:rPr>
        <w:t>，</w:t>
      </w:r>
      <w:r>
        <w:rPr>
          <w:rFonts w:hint="eastAsia" w:ascii="仿宋" w:hAnsi="仿宋" w:eastAsia="仿宋" w:cs="仿宋_GB2312"/>
          <w:bCs/>
          <w:color w:val="000000"/>
          <w:kern w:val="0"/>
          <w:sz w:val="32"/>
          <w:szCs w:val="32"/>
          <w:lang w:eastAsia="zh-CN"/>
        </w:rPr>
        <w:t>增加</w:t>
      </w:r>
      <w:r>
        <w:rPr>
          <w:rFonts w:hint="eastAsia" w:ascii="仿宋" w:hAnsi="仿宋" w:eastAsia="仿宋" w:cs="仿宋_GB2312"/>
          <w:bCs/>
          <w:color w:val="000000"/>
          <w:kern w:val="0"/>
          <w:sz w:val="32"/>
          <w:szCs w:val="32"/>
        </w:rPr>
        <w:t>基本养老保险缴费的支出；</w:t>
      </w:r>
    </w:p>
    <w:p>
      <w:pPr>
        <w:spacing w:line="560" w:lineRule="exact"/>
        <w:ind w:firstLine="643" w:firstLineChars="200"/>
        <w:rPr>
          <w:rFonts w:ascii="仿宋" w:hAnsi="仿宋" w:eastAsia="仿宋" w:cs="仿宋_GB2312"/>
          <w:bCs/>
          <w:color w:val="000000"/>
          <w:kern w:val="0"/>
          <w:sz w:val="32"/>
          <w:szCs w:val="32"/>
        </w:rPr>
      </w:pPr>
      <w:r>
        <w:rPr>
          <w:rFonts w:hint="eastAsia" w:ascii="仿宋" w:hAnsi="仿宋" w:eastAsia="仿宋" w:cs="仿宋_GB2312"/>
          <w:b/>
          <w:bCs/>
          <w:color w:val="000000"/>
          <w:kern w:val="0"/>
          <w:sz w:val="32"/>
          <w:szCs w:val="32"/>
        </w:rPr>
        <w:t>12、社会保障和就业支出（类）行政事业单位养老支出（款）      机关事业单位职业年金缴费支出（项）。</w:t>
      </w:r>
      <w:r>
        <w:rPr>
          <w:rFonts w:hint="eastAsia" w:ascii="仿宋" w:hAnsi="仿宋" w:eastAsia="仿宋" w:cs="仿宋_GB2312"/>
          <w:bCs/>
          <w:color w:val="000000"/>
          <w:kern w:val="0"/>
          <w:sz w:val="32"/>
          <w:szCs w:val="32"/>
        </w:rPr>
        <w:t>年初预算为</w:t>
      </w:r>
      <w:r>
        <w:rPr>
          <w:rFonts w:hint="eastAsia" w:ascii="仿宋" w:hAnsi="仿宋" w:eastAsia="仿宋" w:cs="仿宋_GB2312"/>
          <w:bCs/>
          <w:color w:val="000000"/>
          <w:kern w:val="0"/>
          <w:sz w:val="32"/>
          <w:szCs w:val="32"/>
          <w:u w:val="single"/>
        </w:rPr>
        <w:t>260</w:t>
      </w:r>
      <w:r>
        <w:rPr>
          <w:rFonts w:ascii="仿宋" w:hAnsi="仿宋" w:eastAsia="仿宋" w:cs="仿宋_GB2312"/>
          <w:bCs/>
          <w:color w:val="000000"/>
          <w:kern w:val="0"/>
          <w:sz w:val="32"/>
          <w:szCs w:val="32"/>
          <w:u w:val="single"/>
        </w:rPr>
        <w:t>,</w:t>
      </w:r>
      <w:r>
        <w:rPr>
          <w:rFonts w:hint="eastAsia" w:ascii="仿宋" w:hAnsi="仿宋" w:eastAsia="仿宋" w:cs="仿宋_GB2312"/>
          <w:bCs/>
          <w:color w:val="000000"/>
          <w:kern w:val="0"/>
          <w:sz w:val="32"/>
          <w:szCs w:val="32"/>
          <w:u w:val="single"/>
        </w:rPr>
        <w:t>707</w:t>
      </w:r>
      <w:r>
        <w:rPr>
          <w:rFonts w:hint="eastAsia" w:ascii="仿宋" w:hAnsi="仿宋" w:eastAsia="仿宋" w:cs="仿宋_GB2312"/>
          <w:bCs/>
          <w:color w:val="000000"/>
          <w:kern w:val="0"/>
          <w:sz w:val="32"/>
          <w:szCs w:val="32"/>
          <w:u w:val="single"/>
          <w:lang w:val="en-US" w:eastAsia="zh-CN"/>
        </w:rPr>
        <w:t>.00</w:t>
      </w:r>
      <w:r>
        <w:rPr>
          <w:rFonts w:hint="eastAsia" w:ascii="仿宋" w:hAnsi="仿宋" w:eastAsia="仿宋" w:cs="仿宋_GB2312"/>
          <w:bCs/>
          <w:color w:val="000000"/>
          <w:kern w:val="0"/>
          <w:sz w:val="32"/>
          <w:szCs w:val="32"/>
        </w:rPr>
        <w:t>元，支出决算为</w:t>
      </w:r>
      <w:r>
        <w:rPr>
          <w:rFonts w:ascii="仿宋" w:hAnsi="仿宋" w:eastAsia="仿宋" w:cs="仿宋_GB2312"/>
          <w:bCs/>
          <w:color w:val="000000"/>
          <w:kern w:val="0"/>
          <w:sz w:val="32"/>
          <w:szCs w:val="32"/>
          <w:u w:val="single"/>
        </w:rPr>
        <w:t>1,056,621.51</w:t>
      </w:r>
      <w:r>
        <w:rPr>
          <w:rFonts w:hint="eastAsia" w:ascii="仿宋" w:hAnsi="仿宋" w:eastAsia="仿宋" w:cs="仿宋_GB2312"/>
          <w:bCs/>
          <w:color w:val="000000"/>
          <w:kern w:val="0"/>
          <w:sz w:val="32"/>
          <w:szCs w:val="32"/>
        </w:rPr>
        <w:t>元，决算数</w:t>
      </w:r>
      <w:r>
        <w:rPr>
          <w:rFonts w:hint="eastAsia" w:ascii="仿宋" w:hAnsi="仿宋" w:eastAsia="仿宋" w:cs="仿宋_GB2312"/>
          <w:bCs/>
          <w:color w:val="000000"/>
          <w:kern w:val="0"/>
          <w:sz w:val="32"/>
          <w:szCs w:val="32"/>
          <w:lang w:eastAsia="zh-CN"/>
        </w:rPr>
        <w:t>大于</w:t>
      </w:r>
      <w:r>
        <w:rPr>
          <w:rFonts w:hint="eastAsia" w:ascii="仿宋" w:hAnsi="仿宋" w:eastAsia="仿宋" w:cs="仿宋_GB2312"/>
          <w:bCs/>
          <w:color w:val="000000"/>
          <w:kern w:val="0"/>
          <w:sz w:val="32"/>
          <w:szCs w:val="32"/>
        </w:rPr>
        <w:t>预算数的主要原因是：</w:t>
      </w:r>
      <w:r>
        <w:rPr>
          <w:rFonts w:hint="eastAsia" w:ascii="仿宋" w:hAnsi="仿宋" w:eastAsia="仿宋"/>
          <w:color w:val="000000"/>
          <w:sz w:val="32"/>
          <w:szCs w:val="32"/>
        </w:rPr>
        <w:t>机关事业单位人员</w:t>
      </w:r>
      <w:r>
        <w:rPr>
          <w:rFonts w:hint="eastAsia" w:ascii="仿宋" w:hAnsi="仿宋" w:eastAsia="仿宋"/>
          <w:color w:val="000000"/>
          <w:sz w:val="32"/>
          <w:szCs w:val="32"/>
          <w:lang w:eastAsia="zh-CN"/>
        </w:rPr>
        <w:t>增加</w:t>
      </w:r>
      <w:r>
        <w:rPr>
          <w:rFonts w:hint="eastAsia" w:ascii="仿宋" w:hAnsi="仿宋" w:eastAsia="仿宋" w:cs="仿宋_GB2312"/>
          <w:bCs/>
          <w:color w:val="000000"/>
          <w:kern w:val="0"/>
          <w:sz w:val="32"/>
          <w:szCs w:val="32"/>
        </w:rPr>
        <w:t>，</w:t>
      </w:r>
      <w:r>
        <w:rPr>
          <w:rFonts w:hint="eastAsia" w:ascii="仿宋" w:hAnsi="仿宋" w:eastAsia="仿宋" w:cs="仿宋_GB2312"/>
          <w:bCs/>
          <w:color w:val="000000"/>
          <w:kern w:val="0"/>
          <w:sz w:val="32"/>
          <w:szCs w:val="32"/>
          <w:lang w:eastAsia="zh-CN"/>
        </w:rPr>
        <w:t>增加</w:t>
      </w:r>
      <w:r>
        <w:rPr>
          <w:rFonts w:hint="eastAsia" w:ascii="仿宋" w:hAnsi="仿宋" w:eastAsia="仿宋" w:cs="仿宋_GB2312"/>
          <w:bCs/>
          <w:color w:val="000000"/>
          <w:kern w:val="0"/>
          <w:sz w:val="32"/>
          <w:szCs w:val="32"/>
        </w:rPr>
        <w:t>了职业年金缴费的支出；</w:t>
      </w:r>
    </w:p>
    <w:p>
      <w:pPr>
        <w:spacing w:line="560" w:lineRule="exact"/>
        <w:ind w:firstLine="643" w:firstLineChars="200"/>
        <w:rPr>
          <w:rFonts w:hint="eastAsia" w:ascii="仿宋" w:hAnsi="仿宋" w:eastAsia="仿宋" w:cs="仿宋_GB2312"/>
          <w:bCs/>
          <w:color w:val="000000"/>
          <w:kern w:val="0"/>
          <w:sz w:val="32"/>
          <w:szCs w:val="32"/>
          <w:lang w:eastAsia="zh-CN"/>
        </w:rPr>
      </w:pPr>
      <w:r>
        <w:rPr>
          <w:rFonts w:hint="eastAsia" w:ascii="仿宋" w:hAnsi="仿宋" w:eastAsia="仿宋" w:cs="仿宋_GB2312"/>
          <w:b/>
          <w:bCs/>
          <w:color w:val="000000"/>
          <w:kern w:val="0"/>
          <w:sz w:val="32"/>
          <w:szCs w:val="32"/>
        </w:rPr>
        <w:t>13、社会保障和就业支出（类）抚恤（款）死亡抚恤（项）。</w:t>
      </w:r>
      <w:r>
        <w:rPr>
          <w:rFonts w:hint="eastAsia" w:ascii="仿宋" w:hAnsi="仿宋" w:eastAsia="仿宋" w:cs="仿宋_GB2312"/>
          <w:bCs/>
          <w:color w:val="000000"/>
          <w:kern w:val="0"/>
          <w:sz w:val="32"/>
          <w:szCs w:val="32"/>
        </w:rPr>
        <w:t>年初预算为</w:t>
      </w:r>
      <w:r>
        <w:rPr>
          <w:rFonts w:hint="eastAsia" w:ascii="仿宋" w:hAnsi="仿宋" w:eastAsia="仿宋" w:cs="仿宋_GB2312"/>
          <w:bCs/>
          <w:color w:val="000000"/>
          <w:kern w:val="0"/>
          <w:sz w:val="32"/>
          <w:szCs w:val="32"/>
          <w:u w:val="single"/>
        </w:rPr>
        <w:t>0</w:t>
      </w:r>
      <w:r>
        <w:rPr>
          <w:rFonts w:hint="eastAsia" w:ascii="仿宋" w:hAnsi="仿宋" w:eastAsia="仿宋" w:cs="仿宋_GB2312"/>
          <w:bCs/>
          <w:color w:val="000000"/>
          <w:kern w:val="0"/>
          <w:sz w:val="32"/>
          <w:szCs w:val="32"/>
        </w:rPr>
        <w:t>元，支出决算为</w:t>
      </w:r>
      <w:r>
        <w:rPr>
          <w:rFonts w:ascii="仿宋" w:hAnsi="仿宋" w:eastAsia="仿宋" w:cs="仿宋_GB2312"/>
          <w:bCs/>
          <w:color w:val="000000"/>
          <w:kern w:val="0"/>
          <w:sz w:val="32"/>
          <w:szCs w:val="32"/>
          <w:u w:val="single"/>
        </w:rPr>
        <w:t>75,382.00</w:t>
      </w:r>
      <w:r>
        <w:rPr>
          <w:rFonts w:hint="eastAsia" w:ascii="仿宋" w:hAnsi="仿宋" w:eastAsia="仿宋" w:cs="仿宋_GB2312"/>
          <w:bCs/>
          <w:color w:val="000000"/>
          <w:kern w:val="0"/>
          <w:sz w:val="32"/>
          <w:szCs w:val="32"/>
        </w:rPr>
        <w:t>元，决算数</w:t>
      </w:r>
      <w:r>
        <w:rPr>
          <w:rFonts w:hint="eastAsia" w:ascii="仿宋" w:hAnsi="仿宋" w:eastAsia="仿宋" w:cs="仿宋_GB2312"/>
          <w:bCs/>
          <w:color w:val="000000"/>
          <w:kern w:val="0"/>
          <w:sz w:val="32"/>
          <w:szCs w:val="32"/>
          <w:lang w:eastAsia="zh-CN"/>
        </w:rPr>
        <w:t>大于</w:t>
      </w:r>
      <w:r>
        <w:rPr>
          <w:rFonts w:hint="eastAsia" w:ascii="仿宋" w:hAnsi="仿宋" w:eastAsia="仿宋" w:cs="仿宋_GB2312"/>
          <w:bCs/>
          <w:color w:val="000000"/>
          <w:kern w:val="0"/>
          <w:sz w:val="32"/>
          <w:szCs w:val="32"/>
        </w:rPr>
        <w:t>预算数的主要原因是：</w:t>
      </w:r>
      <w:r>
        <w:rPr>
          <w:rFonts w:hint="eastAsia" w:ascii="仿宋" w:hAnsi="仿宋" w:eastAsia="仿宋" w:cs="仿宋_GB2312"/>
          <w:bCs/>
          <w:color w:val="000000"/>
          <w:kern w:val="0"/>
          <w:sz w:val="32"/>
          <w:szCs w:val="32"/>
          <w:lang w:eastAsia="zh-CN"/>
        </w:rPr>
        <w:t>本年度支付丧葬费</w:t>
      </w:r>
      <w:r>
        <w:rPr>
          <w:rFonts w:hint="eastAsia" w:ascii="仿宋" w:hAnsi="仿宋" w:eastAsia="仿宋" w:cs="仿宋_GB2312"/>
          <w:bCs/>
          <w:color w:val="000000"/>
          <w:kern w:val="0"/>
          <w:sz w:val="32"/>
          <w:szCs w:val="32"/>
        </w:rPr>
        <w:t>；</w:t>
      </w:r>
    </w:p>
    <w:p>
      <w:pPr>
        <w:spacing w:line="560" w:lineRule="exact"/>
        <w:ind w:firstLine="643" w:firstLineChars="200"/>
        <w:rPr>
          <w:rFonts w:ascii="仿宋" w:hAnsi="仿宋" w:eastAsia="仿宋" w:cs="仿宋_GB2312"/>
          <w:bCs/>
          <w:color w:val="000000"/>
          <w:kern w:val="0"/>
          <w:sz w:val="32"/>
          <w:szCs w:val="32"/>
        </w:rPr>
      </w:pPr>
      <w:r>
        <w:rPr>
          <w:rFonts w:hint="eastAsia" w:ascii="仿宋" w:hAnsi="仿宋" w:eastAsia="仿宋" w:cs="仿宋_GB2312"/>
          <w:b/>
          <w:bCs/>
          <w:color w:val="000000"/>
          <w:kern w:val="0"/>
          <w:sz w:val="32"/>
          <w:szCs w:val="32"/>
        </w:rPr>
        <w:t>14、卫生健康支出（类）基层医疗卫生机构（款）城市社区卫生机构（项）。</w:t>
      </w:r>
      <w:r>
        <w:rPr>
          <w:rFonts w:hint="eastAsia" w:ascii="仿宋" w:hAnsi="仿宋" w:eastAsia="仿宋" w:cs="仿宋_GB2312"/>
          <w:bCs/>
          <w:color w:val="000000"/>
          <w:kern w:val="0"/>
          <w:sz w:val="32"/>
          <w:szCs w:val="32"/>
        </w:rPr>
        <w:t>年初预算为0元，支出决算为</w:t>
      </w:r>
      <w:r>
        <w:rPr>
          <w:rFonts w:ascii="仿宋" w:hAnsi="仿宋" w:eastAsia="仿宋" w:cs="仿宋_GB2312"/>
          <w:bCs/>
          <w:color w:val="000000"/>
          <w:kern w:val="0"/>
          <w:sz w:val="32"/>
          <w:szCs w:val="32"/>
          <w:u w:val="single"/>
        </w:rPr>
        <w:t>1,048.05</w:t>
      </w:r>
      <w:r>
        <w:rPr>
          <w:rFonts w:hint="eastAsia" w:ascii="仿宋" w:hAnsi="仿宋" w:eastAsia="仿宋" w:cs="仿宋_GB2312"/>
          <w:bCs/>
          <w:color w:val="000000"/>
          <w:kern w:val="0"/>
          <w:sz w:val="32"/>
          <w:szCs w:val="32"/>
        </w:rPr>
        <w:t>元，决算数大于预算数的主要原因是：</w:t>
      </w:r>
      <w:r>
        <w:rPr>
          <w:rFonts w:hint="eastAsia" w:ascii="仿宋" w:hAnsi="仿宋" w:eastAsia="仿宋" w:cs="仿宋_GB2312"/>
          <w:bCs/>
          <w:color w:val="000000"/>
          <w:kern w:val="0"/>
          <w:sz w:val="32"/>
          <w:szCs w:val="32"/>
          <w:lang w:eastAsia="zh-CN"/>
        </w:rPr>
        <w:t>本年度支付职工工伤保险</w:t>
      </w:r>
      <w:r>
        <w:rPr>
          <w:rFonts w:hint="eastAsia" w:ascii="仿宋" w:hAnsi="仿宋" w:eastAsia="仿宋" w:cs="仿宋_GB2312"/>
          <w:bCs/>
          <w:color w:val="000000"/>
          <w:kern w:val="0"/>
          <w:sz w:val="32"/>
          <w:szCs w:val="32"/>
        </w:rPr>
        <w:t>；</w:t>
      </w:r>
    </w:p>
    <w:p>
      <w:pPr>
        <w:spacing w:line="560" w:lineRule="exact"/>
        <w:ind w:firstLine="643" w:firstLineChars="200"/>
        <w:rPr>
          <w:rFonts w:ascii="仿宋" w:hAnsi="仿宋" w:eastAsia="仿宋" w:cs="仿宋_GB2312"/>
          <w:bCs/>
          <w:color w:val="000000"/>
          <w:kern w:val="0"/>
          <w:sz w:val="32"/>
          <w:szCs w:val="32"/>
        </w:rPr>
      </w:pPr>
      <w:r>
        <w:rPr>
          <w:rFonts w:hint="eastAsia" w:ascii="仿宋" w:hAnsi="仿宋" w:eastAsia="仿宋" w:cs="仿宋_GB2312"/>
          <w:b/>
          <w:bCs/>
          <w:color w:val="000000"/>
          <w:kern w:val="0"/>
          <w:sz w:val="32"/>
          <w:szCs w:val="32"/>
        </w:rPr>
        <w:t>15、卫生健康支出（类）公共卫生（款）突发公共卫生事件应急处理（项）。</w:t>
      </w:r>
      <w:r>
        <w:rPr>
          <w:rFonts w:hint="eastAsia" w:ascii="仿宋" w:hAnsi="仿宋" w:eastAsia="仿宋" w:cs="仿宋_GB2312"/>
          <w:bCs/>
          <w:color w:val="000000"/>
          <w:kern w:val="0"/>
          <w:sz w:val="32"/>
          <w:szCs w:val="32"/>
        </w:rPr>
        <w:t>年初预算为0元，支出决算为</w:t>
      </w:r>
      <w:r>
        <w:rPr>
          <w:rFonts w:ascii="仿宋" w:hAnsi="仿宋" w:eastAsia="仿宋" w:cs="仿宋_GB2312"/>
          <w:bCs/>
          <w:color w:val="000000"/>
          <w:kern w:val="0"/>
          <w:sz w:val="32"/>
          <w:szCs w:val="32"/>
          <w:u w:val="single"/>
        </w:rPr>
        <w:t>1,186,386.92</w:t>
      </w:r>
      <w:r>
        <w:rPr>
          <w:rFonts w:hint="eastAsia" w:ascii="仿宋" w:hAnsi="仿宋" w:eastAsia="仿宋" w:cs="仿宋_GB2312"/>
          <w:bCs/>
          <w:color w:val="000000"/>
          <w:kern w:val="0"/>
          <w:sz w:val="32"/>
          <w:szCs w:val="32"/>
        </w:rPr>
        <w:t>元，决算数大于预算数的主要原因是：增加新冠肺炎疫情防控资金</w:t>
      </w:r>
      <w:r>
        <w:rPr>
          <w:rFonts w:hint="eastAsia" w:ascii="仿宋" w:hAnsi="仿宋" w:eastAsia="仿宋" w:cs="仿宋_GB2312"/>
          <w:bCs/>
          <w:color w:val="000000"/>
          <w:kern w:val="0"/>
          <w:sz w:val="32"/>
          <w:szCs w:val="32"/>
          <w:lang w:eastAsia="zh-CN"/>
        </w:rPr>
        <w:t>及</w:t>
      </w:r>
      <w:r>
        <w:rPr>
          <w:rFonts w:hint="eastAsia" w:ascii="仿宋" w:hAnsi="仿宋" w:eastAsia="仿宋" w:cs="仿宋_GB2312"/>
          <w:bCs/>
          <w:color w:val="000000"/>
          <w:kern w:val="0"/>
          <w:sz w:val="32"/>
          <w:szCs w:val="32"/>
        </w:rPr>
        <w:t>疫情防控</w:t>
      </w:r>
      <w:r>
        <w:rPr>
          <w:rFonts w:hint="eastAsia" w:ascii="仿宋" w:hAnsi="仿宋" w:eastAsia="仿宋" w:cs="仿宋_GB2312"/>
          <w:bCs/>
          <w:color w:val="000000"/>
          <w:kern w:val="0"/>
          <w:sz w:val="32"/>
          <w:szCs w:val="32"/>
          <w:lang w:eastAsia="zh-CN"/>
        </w:rPr>
        <w:t>雇佣人员工资</w:t>
      </w:r>
      <w:r>
        <w:rPr>
          <w:rFonts w:hint="eastAsia" w:ascii="仿宋" w:hAnsi="仿宋" w:eastAsia="仿宋" w:cs="仿宋_GB2312"/>
          <w:bCs/>
          <w:color w:val="000000"/>
          <w:kern w:val="0"/>
          <w:sz w:val="32"/>
          <w:szCs w:val="32"/>
        </w:rPr>
        <w:t>；</w:t>
      </w:r>
    </w:p>
    <w:p>
      <w:pPr>
        <w:spacing w:line="560" w:lineRule="exact"/>
        <w:ind w:firstLine="643" w:firstLineChars="200"/>
        <w:rPr>
          <w:rFonts w:ascii="仿宋" w:hAnsi="仿宋" w:eastAsia="仿宋" w:cs="仿宋_GB2312"/>
          <w:bCs/>
          <w:color w:val="000000"/>
          <w:kern w:val="0"/>
          <w:sz w:val="32"/>
          <w:szCs w:val="32"/>
        </w:rPr>
      </w:pPr>
      <w:r>
        <w:rPr>
          <w:rFonts w:hint="eastAsia" w:ascii="仿宋" w:hAnsi="仿宋" w:eastAsia="仿宋" w:cs="仿宋_GB2312"/>
          <w:b/>
          <w:bCs/>
          <w:color w:val="000000"/>
          <w:kern w:val="0"/>
          <w:sz w:val="32"/>
          <w:szCs w:val="32"/>
        </w:rPr>
        <w:t xml:space="preserve"> 16、卫生健康支出（类）行政事业单位医疗（款）行政单位医疗（项）。</w:t>
      </w:r>
      <w:r>
        <w:rPr>
          <w:rFonts w:hint="eastAsia" w:ascii="仿宋" w:hAnsi="仿宋" w:eastAsia="仿宋" w:cs="仿宋_GB2312"/>
          <w:bCs/>
          <w:color w:val="000000"/>
          <w:kern w:val="0"/>
          <w:sz w:val="32"/>
          <w:szCs w:val="32"/>
        </w:rPr>
        <w:t>年初预算为</w:t>
      </w:r>
      <w:r>
        <w:rPr>
          <w:rFonts w:hint="eastAsia" w:ascii="仿宋" w:hAnsi="仿宋" w:eastAsia="仿宋" w:cs="仿宋_GB2312"/>
          <w:bCs/>
          <w:color w:val="000000"/>
          <w:kern w:val="0"/>
          <w:sz w:val="32"/>
          <w:szCs w:val="32"/>
          <w:u w:val="single"/>
        </w:rPr>
        <w:t>370</w:t>
      </w:r>
      <w:r>
        <w:rPr>
          <w:rFonts w:ascii="仿宋" w:hAnsi="仿宋" w:eastAsia="仿宋" w:cs="仿宋_GB2312"/>
          <w:bCs/>
          <w:color w:val="000000"/>
          <w:kern w:val="0"/>
          <w:sz w:val="32"/>
          <w:szCs w:val="32"/>
          <w:u w:val="single"/>
        </w:rPr>
        <w:t>,</w:t>
      </w:r>
      <w:r>
        <w:rPr>
          <w:rFonts w:hint="eastAsia" w:ascii="仿宋" w:hAnsi="仿宋" w:eastAsia="仿宋" w:cs="仿宋_GB2312"/>
          <w:bCs/>
          <w:color w:val="000000"/>
          <w:kern w:val="0"/>
          <w:sz w:val="32"/>
          <w:szCs w:val="32"/>
          <w:u w:val="single"/>
        </w:rPr>
        <w:t>152</w:t>
      </w:r>
      <w:r>
        <w:rPr>
          <w:rFonts w:hint="eastAsia" w:ascii="仿宋" w:hAnsi="仿宋" w:eastAsia="仿宋" w:cs="仿宋_GB2312"/>
          <w:bCs/>
          <w:color w:val="000000"/>
          <w:kern w:val="0"/>
          <w:sz w:val="32"/>
          <w:szCs w:val="32"/>
          <w:u w:val="single"/>
          <w:lang w:val="en-US" w:eastAsia="zh-CN"/>
        </w:rPr>
        <w:t>.00</w:t>
      </w:r>
      <w:r>
        <w:rPr>
          <w:rFonts w:hint="eastAsia" w:ascii="仿宋" w:hAnsi="仿宋" w:eastAsia="仿宋" w:cs="仿宋_GB2312"/>
          <w:bCs/>
          <w:color w:val="000000"/>
          <w:kern w:val="0"/>
          <w:sz w:val="32"/>
          <w:szCs w:val="32"/>
        </w:rPr>
        <w:t>元，支出决算为</w:t>
      </w:r>
      <w:r>
        <w:rPr>
          <w:rFonts w:ascii="仿宋" w:hAnsi="仿宋" w:eastAsia="仿宋" w:cs="仿宋_GB2312"/>
          <w:bCs/>
          <w:color w:val="000000"/>
          <w:kern w:val="0"/>
          <w:sz w:val="32"/>
          <w:szCs w:val="32"/>
          <w:u w:val="single"/>
        </w:rPr>
        <w:t>359,867.41</w:t>
      </w:r>
      <w:r>
        <w:rPr>
          <w:rFonts w:hint="eastAsia" w:ascii="仿宋" w:hAnsi="仿宋" w:eastAsia="仿宋" w:cs="仿宋_GB2312"/>
          <w:bCs/>
          <w:color w:val="000000"/>
          <w:kern w:val="0"/>
          <w:sz w:val="32"/>
          <w:szCs w:val="32"/>
        </w:rPr>
        <w:t>元，决算数</w:t>
      </w:r>
      <w:r>
        <w:rPr>
          <w:rFonts w:hint="eastAsia" w:ascii="仿宋" w:hAnsi="仿宋" w:eastAsia="仿宋" w:cs="仿宋_GB2312"/>
          <w:bCs/>
          <w:color w:val="000000"/>
          <w:kern w:val="0"/>
          <w:sz w:val="32"/>
          <w:szCs w:val="32"/>
          <w:lang w:eastAsia="zh-CN"/>
        </w:rPr>
        <w:t>小于</w:t>
      </w:r>
      <w:r>
        <w:rPr>
          <w:rFonts w:hint="eastAsia" w:ascii="仿宋" w:hAnsi="仿宋" w:eastAsia="仿宋" w:cs="仿宋_GB2312"/>
          <w:bCs/>
          <w:color w:val="000000"/>
          <w:kern w:val="0"/>
          <w:sz w:val="32"/>
          <w:szCs w:val="32"/>
        </w:rPr>
        <w:t>预算数的主要原因是：调整社保缴费基数，</w:t>
      </w:r>
      <w:r>
        <w:rPr>
          <w:rFonts w:hint="eastAsia" w:ascii="仿宋" w:hAnsi="仿宋" w:eastAsia="仿宋" w:cs="仿宋_GB2312"/>
          <w:bCs/>
          <w:color w:val="000000"/>
          <w:kern w:val="0"/>
          <w:sz w:val="32"/>
          <w:szCs w:val="32"/>
          <w:lang w:eastAsia="zh-CN"/>
        </w:rPr>
        <w:t>减少</w:t>
      </w:r>
      <w:r>
        <w:rPr>
          <w:rFonts w:hint="eastAsia" w:ascii="仿宋" w:hAnsi="仿宋" w:eastAsia="仿宋" w:cs="仿宋_GB2312"/>
          <w:bCs/>
          <w:color w:val="000000"/>
          <w:kern w:val="0"/>
          <w:sz w:val="32"/>
          <w:szCs w:val="32"/>
        </w:rPr>
        <w:t>单位医疗资金支出；</w:t>
      </w:r>
    </w:p>
    <w:p>
      <w:pPr>
        <w:spacing w:line="560" w:lineRule="exact"/>
        <w:ind w:firstLine="643" w:firstLineChars="200"/>
        <w:rPr>
          <w:rFonts w:hint="eastAsia" w:ascii="仿宋" w:hAnsi="仿宋" w:eastAsia="仿宋" w:cs="仿宋_GB2312"/>
          <w:bCs/>
          <w:color w:val="000000"/>
          <w:kern w:val="0"/>
          <w:sz w:val="32"/>
          <w:szCs w:val="32"/>
          <w:lang w:eastAsia="zh-CN"/>
        </w:rPr>
      </w:pPr>
      <w:r>
        <w:rPr>
          <w:rFonts w:hint="eastAsia" w:ascii="仿宋" w:hAnsi="仿宋" w:eastAsia="仿宋" w:cs="仿宋_GB2312"/>
          <w:b/>
          <w:bCs/>
          <w:kern w:val="0"/>
          <w:sz w:val="32"/>
          <w:szCs w:val="32"/>
        </w:rPr>
        <w:t>17、卫生健康支出（类）行政事业单位医疗（款）公务员医疗补助（项）。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75</w:t>
      </w:r>
      <w:r>
        <w:rPr>
          <w:rFonts w:ascii="仿宋" w:hAnsi="仿宋" w:eastAsia="仿宋" w:cs="仿宋_GB2312"/>
          <w:bCs/>
          <w:kern w:val="0"/>
          <w:sz w:val="32"/>
          <w:szCs w:val="32"/>
          <w:u w:val="single"/>
        </w:rPr>
        <w:t>,</w:t>
      </w:r>
      <w:r>
        <w:rPr>
          <w:rFonts w:hint="eastAsia" w:ascii="仿宋" w:hAnsi="仿宋" w:eastAsia="仿宋" w:cs="仿宋_GB2312"/>
          <w:bCs/>
          <w:kern w:val="0"/>
          <w:sz w:val="32"/>
          <w:szCs w:val="32"/>
          <w:u w:val="single"/>
        </w:rPr>
        <w:t>702</w:t>
      </w:r>
      <w:r>
        <w:rPr>
          <w:rFonts w:hint="eastAsia" w:ascii="仿宋" w:hAnsi="仿宋" w:eastAsia="仿宋" w:cs="仿宋_GB2312"/>
          <w:bCs/>
          <w:kern w:val="0"/>
          <w:sz w:val="32"/>
          <w:szCs w:val="32"/>
          <w:u w:val="single"/>
          <w:lang w:val="en-US" w:eastAsia="zh-CN"/>
        </w:rPr>
        <w:t>.00</w:t>
      </w:r>
      <w:r>
        <w:rPr>
          <w:rFonts w:hint="eastAsia" w:ascii="仿宋" w:hAnsi="仿宋" w:eastAsia="仿宋" w:cs="仿宋_GB2312"/>
          <w:bCs/>
          <w:kern w:val="0"/>
          <w:sz w:val="32"/>
          <w:szCs w:val="32"/>
        </w:rPr>
        <w:t>元，支出决算为</w:t>
      </w:r>
      <w:r>
        <w:rPr>
          <w:rFonts w:ascii="仿宋" w:hAnsi="仿宋" w:eastAsia="仿宋" w:cs="仿宋_GB2312"/>
          <w:bCs/>
          <w:kern w:val="0"/>
          <w:sz w:val="32"/>
          <w:szCs w:val="32"/>
          <w:u w:val="single"/>
        </w:rPr>
        <w:t>61,131.72</w:t>
      </w:r>
      <w:r>
        <w:rPr>
          <w:rFonts w:hint="eastAsia" w:ascii="仿宋" w:hAnsi="仿宋" w:eastAsia="仿宋" w:cs="仿宋_GB2312"/>
          <w:bCs/>
          <w:kern w:val="0"/>
          <w:sz w:val="32"/>
          <w:szCs w:val="32"/>
        </w:rPr>
        <w:t>元，</w:t>
      </w:r>
      <w:r>
        <w:rPr>
          <w:rFonts w:hint="eastAsia" w:ascii="仿宋" w:hAnsi="仿宋" w:eastAsia="仿宋" w:cs="仿宋_GB2312"/>
          <w:bCs/>
          <w:color w:val="000000"/>
          <w:kern w:val="0"/>
          <w:sz w:val="32"/>
          <w:szCs w:val="32"/>
        </w:rPr>
        <w:t>决算数</w:t>
      </w:r>
      <w:r>
        <w:rPr>
          <w:rFonts w:hint="eastAsia" w:ascii="仿宋" w:hAnsi="仿宋" w:eastAsia="仿宋" w:cs="仿宋_GB2312"/>
          <w:bCs/>
          <w:color w:val="000000"/>
          <w:kern w:val="0"/>
          <w:sz w:val="32"/>
          <w:szCs w:val="32"/>
          <w:lang w:eastAsia="zh-CN"/>
        </w:rPr>
        <w:t>小于</w:t>
      </w:r>
      <w:r>
        <w:rPr>
          <w:rFonts w:hint="eastAsia" w:ascii="仿宋" w:hAnsi="仿宋" w:eastAsia="仿宋" w:cs="仿宋_GB2312"/>
          <w:bCs/>
          <w:color w:val="000000"/>
          <w:kern w:val="0"/>
          <w:sz w:val="32"/>
          <w:szCs w:val="32"/>
        </w:rPr>
        <w:t>预算数的主要原因是：</w:t>
      </w:r>
      <w:r>
        <w:rPr>
          <w:rFonts w:hint="eastAsia" w:ascii="仿宋" w:hAnsi="仿宋" w:eastAsia="仿宋" w:cs="仿宋_GB2312"/>
          <w:bCs/>
          <w:color w:val="000000"/>
          <w:kern w:val="0"/>
          <w:sz w:val="32"/>
          <w:szCs w:val="32"/>
          <w:lang w:eastAsia="zh-CN"/>
        </w:rPr>
        <w:t>支付本年度公务员医疗补助资金</w:t>
      </w:r>
    </w:p>
    <w:p>
      <w:pPr>
        <w:spacing w:line="560" w:lineRule="exact"/>
        <w:ind w:firstLine="643" w:firstLineChars="200"/>
        <w:rPr>
          <w:rFonts w:ascii="仿宋" w:hAnsi="仿宋" w:eastAsia="仿宋" w:cs="仿宋_GB2312"/>
          <w:color w:val="000000"/>
          <w:kern w:val="0"/>
          <w:sz w:val="32"/>
          <w:szCs w:val="32"/>
        </w:rPr>
      </w:pPr>
      <w:r>
        <w:rPr>
          <w:rFonts w:hint="eastAsia" w:ascii="仿宋" w:hAnsi="仿宋" w:eastAsia="仿宋" w:cs="仿宋_GB2312"/>
          <w:b/>
          <w:bCs/>
          <w:kern w:val="0"/>
          <w:sz w:val="32"/>
          <w:szCs w:val="32"/>
        </w:rPr>
        <w:t>18、节能环保支出（类）污染防治（款）大气（项）。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rPr>
        <w:t>元，支出决算为</w:t>
      </w:r>
      <w:r>
        <w:rPr>
          <w:rFonts w:ascii="仿宋" w:hAnsi="仿宋" w:eastAsia="仿宋" w:cs="仿宋_GB2312"/>
          <w:bCs/>
          <w:kern w:val="0"/>
          <w:sz w:val="32"/>
          <w:szCs w:val="32"/>
          <w:u w:val="single"/>
        </w:rPr>
        <w:t>4,864,000.00</w:t>
      </w:r>
      <w:r>
        <w:rPr>
          <w:rFonts w:hint="eastAsia" w:ascii="仿宋" w:hAnsi="仿宋" w:eastAsia="仿宋" w:cs="仿宋_GB2312"/>
          <w:bCs/>
          <w:kern w:val="0"/>
          <w:sz w:val="32"/>
          <w:szCs w:val="32"/>
        </w:rPr>
        <w:t>元，决算数大于预算数的主要原因是：</w:t>
      </w:r>
      <w:r>
        <w:rPr>
          <w:rFonts w:hint="eastAsia" w:ascii="仿宋" w:hAnsi="仿宋" w:eastAsia="仿宋" w:cs="仿宋_GB2312"/>
          <w:color w:val="000000"/>
          <w:kern w:val="0"/>
          <w:sz w:val="32"/>
          <w:szCs w:val="32"/>
        </w:rPr>
        <w:t>良田镇散煤治理，煤改气，煤改电项目、</w:t>
      </w:r>
    </w:p>
    <w:p>
      <w:pPr>
        <w:spacing w:line="560" w:lineRule="exact"/>
        <w:ind w:firstLine="643" w:firstLineChars="200"/>
        <w:rPr>
          <w:rFonts w:hint="eastAsia" w:ascii="仿宋" w:hAnsi="仿宋" w:eastAsia="仿宋" w:cs="仿宋_GB2312"/>
          <w:bCs/>
          <w:kern w:val="0"/>
          <w:sz w:val="32"/>
          <w:szCs w:val="32"/>
          <w:lang w:eastAsia="zh-CN"/>
        </w:rPr>
      </w:pPr>
      <w:r>
        <w:rPr>
          <w:rFonts w:hint="eastAsia" w:ascii="仿宋" w:hAnsi="仿宋" w:eastAsia="仿宋" w:cs="仿宋_GB2312"/>
          <w:b/>
          <w:bCs/>
          <w:kern w:val="0"/>
          <w:sz w:val="32"/>
          <w:szCs w:val="32"/>
        </w:rPr>
        <w:t>19、节能环保支出（类）污染防治（款）其他污染防治支出（项）。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rPr>
        <w:t>元，支出决算为</w:t>
      </w:r>
      <w:r>
        <w:rPr>
          <w:rFonts w:ascii="仿宋" w:hAnsi="仿宋" w:eastAsia="仿宋" w:cs="仿宋_GB2312"/>
          <w:bCs/>
          <w:kern w:val="0"/>
          <w:sz w:val="32"/>
          <w:szCs w:val="32"/>
          <w:u w:val="single"/>
        </w:rPr>
        <w:t>500,000.00</w:t>
      </w:r>
      <w:r>
        <w:rPr>
          <w:rFonts w:hint="eastAsia" w:ascii="仿宋" w:hAnsi="仿宋" w:eastAsia="仿宋" w:cs="仿宋_GB2312"/>
          <w:bCs/>
          <w:kern w:val="0"/>
          <w:sz w:val="32"/>
          <w:szCs w:val="32"/>
        </w:rPr>
        <w:t>元，决算数大于预算数的主要原因是：</w:t>
      </w:r>
      <w:r>
        <w:rPr>
          <w:rFonts w:hint="eastAsia" w:ascii="仿宋" w:hAnsi="仿宋" w:eastAsia="仿宋" w:cs="仿宋_GB2312"/>
          <w:bCs/>
          <w:kern w:val="0"/>
          <w:sz w:val="32"/>
          <w:szCs w:val="32"/>
          <w:lang w:eastAsia="zh-CN"/>
        </w:rPr>
        <w:t>本年度支付环保经费；</w:t>
      </w:r>
    </w:p>
    <w:p>
      <w:pPr>
        <w:spacing w:line="560" w:lineRule="exact"/>
        <w:ind w:firstLine="643" w:firstLineChars="200"/>
        <w:rPr>
          <w:rFonts w:ascii="仿宋" w:hAnsi="仿宋" w:eastAsia="仿宋" w:cs="仿宋_GB2312"/>
          <w:color w:val="000000"/>
          <w:kern w:val="0"/>
          <w:sz w:val="32"/>
          <w:szCs w:val="32"/>
          <w:highlight w:val="cyan"/>
        </w:rPr>
      </w:pPr>
      <w:r>
        <w:rPr>
          <w:rFonts w:hint="eastAsia" w:ascii="仿宋" w:hAnsi="仿宋" w:eastAsia="仿宋" w:cs="仿宋_GB2312"/>
          <w:b/>
          <w:bCs/>
          <w:kern w:val="0"/>
          <w:sz w:val="32"/>
          <w:szCs w:val="32"/>
        </w:rPr>
        <w:t>20、节能环保支出（类）自然生态保护（款）农村环境保护（项）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rPr>
        <w:t>元，支出决算为</w:t>
      </w:r>
      <w:r>
        <w:rPr>
          <w:rFonts w:ascii="仿宋" w:hAnsi="仿宋" w:eastAsia="仿宋" w:cs="仿宋_GB2312"/>
          <w:bCs/>
          <w:kern w:val="0"/>
          <w:sz w:val="32"/>
          <w:szCs w:val="32"/>
          <w:u w:val="single"/>
        </w:rPr>
        <w:t>5,999,776.00</w:t>
      </w:r>
      <w:r>
        <w:rPr>
          <w:rFonts w:hint="eastAsia" w:ascii="仿宋" w:hAnsi="仿宋" w:eastAsia="仿宋" w:cs="仿宋_GB2312"/>
          <w:bCs/>
          <w:color w:val="000000"/>
          <w:kern w:val="0"/>
          <w:sz w:val="32"/>
          <w:szCs w:val="32"/>
        </w:rPr>
        <w:t>元，决算数大于预算数的主要原因是：</w:t>
      </w:r>
      <w:r>
        <w:rPr>
          <w:rFonts w:hint="eastAsia" w:ascii="仿宋" w:hAnsi="仿宋" w:eastAsia="仿宋" w:cs="仿宋_GB2312"/>
          <w:color w:val="000000"/>
          <w:kern w:val="0"/>
          <w:sz w:val="32"/>
          <w:szCs w:val="32"/>
        </w:rPr>
        <w:t>环境综合整治；</w:t>
      </w:r>
    </w:p>
    <w:p>
      <w:pPr>
        <w:spacing w:line="560" w:lineRule="exact"/>
        <w:ind w:firstLine="643" w:firstLineChars="200"/>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rPr>
        <w:t>21、城乡社区支出（类）城乡社区管理事务（款）一般行政管理事务（项）。</w:t>
      </w:r>
      <w:r>
        <w:rPr>
          <w:rFonts w:hint="eastAsia" w:ascii="仿宋" w:hAnsi="仿宋" w:eastAsia="仿宋" w:cs="仿宋_GB2312"/>
          <w:bCs/>
          <w:color w:val="000000"/>
          <w:kern w:val="0"/>
          <w:sz w:val="32"/>
          <w:szCs w:val="32"/>
        </w:rPr>
        <w:t>年初预算为</w:t>
      </w:r>
      <w:r>
        <w:rPr>
          <w:rFonts w:hint="eastAsia" w:ascii="仿宋" w:hAnsi="仿宋" w:eastAsia="仿宋" w:cs="仿宋_GB2312"/>
          <w:bCs/>
          <w:color w:val="000000"/>
          <w:kern w:val="0"/>
          <w:sz w:val="32"/>
          <w:szCs w:val="32"/>
          <w:u w:val="single"/>
        </w:rPr>
        <w:t>0</w:t>
      </w:r>
      <w:r>
        <w:rPr>
          <w:rFonts w:hint="eastAsia" w:ascii="仿宋" w:hAnsi="仿宋" w:eastAsia="仿宋" w:cs="仿宋_GB2312"/>
          <w:bCs/>
          <w:color w:val="000000"/>
          <w:kern w:val="0"/>
          <w:sz w:val="32"/>
          <w:szCs w:val="32"/>
        </w:rPr>
        <w:t>元，支出决算为</w:t>
      </w:r>
      <w:r>
        <w:rPr>
          <w:rFonts w:ascii="仿宋" w:hAnsi="仿宋" w:eastAsia="仿宋" w:cs="仿宋_GB2312"/>
          <w:bCs/>
          <w:color w:val="000000"/>
          <w:kern w:val="0"/>
          <w:sz w:val="32"/>
          <w:szCs w:val="32"/>
          <w:u w:val="single"/>
        </w:rPr>
        <w:t>60,000.00</w:t>
      </w:r>
      <w:r>
        <w:rPr>
          <w:rFonts w:hint="eastAsia" w:ascii="仿宋" w:hAnsi="仿宋" w:eastAsia="仿宋" w:cs="仿宋_GB2312"/>
          <w:bCs/>
          <w:color w:val="000000"/>
          <w:kern w:val="0"/>
          <w:sz w:val="32"/>
          <w:szCs w:val="32"/>
        </w:rPr>
        <w:t>元，决算数大于预算数的主要原因是：</w:t>
      </w:r>
      <w:r>
        <w:rPr>
          <w:rFonts w:hint="eastAsia" w:ascii="仿宋" w:hAnsi="仿宋" w:eastAsia="仿宋" w:cs="仿宋_GB2312"/>
          <w:bCs/>
          <w:color w:val="000000"/>
          <w:kern w:val="0"/>
          <w:sz w:val="32"/>
          <w:szCs w:val="32"/>
          <w:lang w:eastAsia="zh-CN"/>
        </w:rPr>
        <w:t>本年度支付良田镇垃圾分类设备购销费用</w:t>
      </w:r>
      <w:r>
        <w:rPr>
          <w:rFonts w:hint="eastAsia" w:ascii="仿宋" w:hAnsi="仿宋" w:eastAsia="仿宋" w:cs="仿宋_GB2312"/>
          <w:color w:val="000000"/>
          <w:kern w:val="0"/>
          <w:sz w:val="32"/>
          <w:szCs w:val="32"/>
        </w:rPr>
        <w:t>；</w:t>
      </w:r>
    </w:p>
    <w:p>
      <w:pPr>
        <w:spacing w:line="560" w:lineRule="exact"/>
        <w:ind w:firstLine="643" w:firstLineChars="200"/>
        <w:rPr>
          <w:rFonts w:hint="eastAsia" w:ascii="仿宋" w:hAnsi="仿宋" w:eastAsia="仿宋" w:cs="仿宋_GB2312"/>
          <w:color w:val="000000"/>
          <w:kern w:val="0"/>
          <w:sz w:val="32"/>
          <w:szCs w:val="32"/>
          <w:lang w:eastAsia="zh-CN"/>
        </w:rPr>
      </w:pPr>
      <w:r>
        <w:rPr>
          <w:rFonts w:hint="eastAsia" w:ascii="仿宋" w:hAnsi="仿宋" w:eastAsia="仿宋" w:cs="仿宋_GB2312"/>
          <w:b/>
          <w:bCs/>
          <w:color w:val="000000"/>
          <w:kern w:val="0"/>
          <w:sz w:val="32"/>
          <w:szCs w:val="32"/>
        </w:rPr>
        <w:t>22、城乡社区支出（类）城乡社区公共设施（款）其他城乡社区公共设施支出（项）。</w:t>
      </w:r>
      <w:r>
        <w:rPr>
          <w:rFonts w:hint="eastAsia" w:ascii="仿宋" w:hAnsi="仿宋" w:eastAsia="仿宋" w:cs="仿宋_GB2312"/>
          <w:bCs/>
          <w:color w:val="000000"/>
          <w:kern w:val="0"/>
          <w:sz w:val="32"/>
          <w:szCs w:val="32"/>
        </w:rPr>
        <w:t>年初预算为</w:t>
      </w:r>
      <w:r>
        <w:rPr>
          <w:rFonts w:hint="eastAsia" w:ascii="仿宋" w:hAnsi="仿宋" w:eastAsia="仿宋" w:cs="仿宋_GB2312"/>
          <w:bCs/>
          <w:color w:val="000000"/>
          <w:kern w:val="0"/>
          <w:sz w:val="32"/>
          <w:szCs w:val="32"/>
          <w:u w:val="single"/>
        </w:rPr>
        <w:t>0</w:t>
      </w:r>
      <w:r>
        <w:rPr>
          <w:rFonts w:hint="eastAsia" w:ascii="仿宋" w:hAnsi="仿宋" w:eastAsia="仿宋" w:cs="仿宋_GB2312"/>
          <w:bCs/>
          <w:color w:val="000000"/>
          <w:kern w:val="0"/>
          <w:sz w:val="32"/>
          <w:szCs w:val="32"/>
        </w:rPr>
        <w:t>元，支出决算为</w:t>
      </w:r>
      <w:r>
        <w:rPr>
          <w:rFonts w:ascii="仿宋" w:hAnsi="仿宋" w:eastAsia="仿宋" w:cs="仿宋_GB2312"/>
          <w:bCs/>
          <w:color w:val="000000"/>
          <w:kern w:val="0"/>
          <w:sz w:val="32"/>
          <w:szCs w:val="32"/>
          <w:u w:val="single"/>
        </w:rPr>
        <w:t>135,734.00</w:t>
      </w:r>
      <w:r>
        <w:rPr>
          <w:rFonts w:hint="eastAsia" w:ascii="仿宋" w:hAnsi="仿宋" w:eastAsia="仿宋" w:cs="仿宋_GB2312"/>
          <w:bCs/>
          <w:color w:val="000000"/>
          <w:kern w:val="0"/>
          <w:sz w:val="32"/>
          <w:szCs w:val="32"/>
        </w:rPr>
        <w:t>元，决算数大于预算数的主要原因是：</w:t>
      </w:r>
      <w:r>
        <w:rPr>
          <w:rFonts w:hint="eastAsia" w:ascii="仿宋" w:hAnsi="仿宋" w:eastAsia="仿宋" w:cs="仿宋_GB2312"/>
          <w:bCs/>
          <w:color w:val="000000"/>
          <w:kern w:val="0"/>
          <w:sz w:val="32"/>
          <w:szCs w:val="32"/>
          <w:lang w:eastAsia="zh-CN"/>
        </w:rPr>
        <w:t>本年度支付光明村项村部建设项目；</w:t>
      </w:r>
    </w:p>
    <w:p>
      <w:pPr>
        <w:ind w:firstLine="643" w:firstLineChars="200"/>
        <w:rPr>
          <w:rFonts w:hint="eastAsia" w:ascii="仿宋" w:hAnsi="仿宋" w:eastAsia="仿宋" w:cs="仿宋_GB2312"/>
          <w:color w:val="000000"/>
          <w:kern w:val="0"/>
          <w:sz w:val="32"/>
          <w:szCs w:val="32"/>
          <w:lang w:eastAsia="zh-CN"/>
        </w:rPr>
      </w:pPr>
      <w:r>
        <w:rPr>
          <w:rFonts w:hint="eastAsia" w:ascii="仿宋" w:hAnsi="仿宋" w:eastAsia="仿宋" w:cs="仿宋_GB2312"/>
          <w:b/>
          <w:bCs/>
          <w:kern w:val="0"/>
          <w:sz w:val="32"/>
          <w:szCs w:val="32"/>
        </w:rPr>
        <w:t>23、城乡社区支出（类）城乡社区环境卫生（款）  城乡社区环境卫生（项）。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rPr>
        <w:t>元，支出决算为</w:t>
      </w:r>
      <w:r>
        <w:rPr>
          <w:rFonts w:ascii="仿宋" w:hAnsi="仿宋" w:eastAsia="仿宋" w:cs="仿宋_GB2312"/>
          <w:bCs/>
          <w:kern w:val="0"/>
          <w:sz w:val="32"/>
          <w:szCs w:val="32"/>
          <w:u w:val="single"/>
        </w:rPr>
        <w:t>700,000.00</w:t>
      </w:r>
      <w:r>
        <w:rPr>
          <w:rFonts w:hint="eastAsia" w:ascii="仿宋" w:hAnsi="仿宋" w:eastAsia="仿宋" w:cs="仿宋_GB2312"/>
          <w:bCs/>
          <w:kern w:val="0"/>
          <w:sz w:val="32"/>
          <w:szCs w:val="32"/>
        </w:rPr>
        <w:t>元，决算数大于预算数的主要原因是：</w:t>
      </w:r>
      <w:r>
        <w:rPr>
          <w:rFonts w:hint="eastAsia" w:ascii="仿宋" w:hAnsi="仿宋" w:eastAsia="仿宋"/>
          <w:color w:val="000000"/>
          <w:kern w:val="0"/>
          <w:sz w:val="32"/>
          <w:szCs w:val="32"/>
        </w:rPr>
        <w:t>收到</w:t>
      </w:r>
      <w:r>
        <w:rPr>
          <w:rFonts w:hint="eastAsia" w:ascii="仿宋" w:hAnsi="仿宋" w:eastAsia="仿宋"/>
          <w:color w:val="000000"/>
          <w:kern w:val="0"/>
          <w:sz w:val="32"/>
          <w:szCs w:val="32"/>
          <w:lang w:eastAsia="zh-CN"/>
        </w:rPr>
        <w:t>创城工作经费资金；</w:t>
      </w:r>
    </w:p>
    <w:p>
      <w:pPr>
        <w:spacing w:line="560" w:lineRule="exact"/>
        <w:ind w:firstLine="630"/>
        <w:rPr>
          <w:rFonts w:hint="eastAsia" w:ascii="仿宋" w:hAnsi="仿宋" w:eastAsia="仿宋" w:cs="仿宋_GB2312"/>
          <w:bCs/>
          <w:color w:val="000000"/>
          <w:kern w:val="0"/>
          <w:sz w:val="32"/>
          <w:szCs w:val="32"/>
          <w:lang w:eastAsia="zh-CN"/>
        </w:rPr>
      </w:pPr>
      <w:r>
        <w:rPr>
          <w:rFonts w:hint="eastAsia" w:ascii="仿宋" w:hAnsi="仿宋" w:eastAsia="仿宋" w:cs="仿宋_GB2312"/>
          <w:b/>
          <w:bCs/>
          <w:kern w:val="0"/>
          <w:sz w:val="32"/>
          <w:szCs w:val="32"/>
        </w:rPr>
        <w:t>24、农林水支出（类）农业农村（款）农业生产发展（项）。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rPr>
        <w:t>元，支出决算为</w:t>
      </w:r>
      <w:r>
        <w:rPr>
          <w:rFonts w:ascii="仿宋" w:hAnsi="仿宋" w:eastAsia="仿宋" w:cs="仿宋_GB2312"/>
          <w:bCs/>
          <w:kern w:val="0"/>
          <w:sz w:val="32"/>
          <w:szCs w:val="32"/>
          <w:u w:val="single"/>
        </w:rPr>
        <w:t>1,099,760.00</w:t>
      </w:r>
      <w:r>
        <w:rPr>
          <w:rFonts w:hint="eastAsia" w:ascii="仿宋" w:hAnsi="仿宋" w:eastAsia="仿宋" w:cs="仿宋_GB2312"/>
          <w:bCs/>
          <w:kern w:val="0"/>
          <w:sz w:val="32"/>
          <w:szCs w:val="32"/>
        </w:rPr>
        <w:t>元，决算数大于预算数的主要原因是：</w:t>
      </w:r>
      <w:r>
        <w:rPr>
          <w:rFonts w:hint="eastAsia" w:ascii="仿宋" w:hAnsi="仿宋" w:eastAsia="仿宋" w:cs="仿宋_GB2312"/>
          <w:bCs/>
          <w:color w:val="000000"/>
          <w:kern w:val="0"/>
          <w:sz w:val="32"/>
          <w:szCs w:val="32"/>
        </w:rPr>
        <w:t>本年度拨付并支出</w:t>
      </w:r>
      <w:r>
        <w:rPr>
          <w:rFonts w:hint="eastAsia" w:ascii="仿宋" w:hAnsi="仿宋" w:eastAsia="仿宋" w:cs="仿宋_GB2312"/>
          <w:bCs/>
          <w:color w:val="000000"/>
          <w:kern w:val="0"/>
          <w:sz w:val="32"/>
          <w:szCs w:val="32"/>
          <w:lang w:eastAsia="zh-CN"/>
        </w:rPr>
        <w:t>；</w:t>
      </w:r>
    </w:p>
    <w:p>
      <w:pPr>
        <w:spacing w:line="560" w:lineRule="exact"/>
        <w:ind w:firstLine="630"/>
        <w:rPr>
          <w:rFonts w:hint="eastAsia" w:ascii="微软雅黑" w:hAnsi="微软雅黑" w:eastAsia="仿宋" w:cs="微软雅黑"/>
          <w:i w:val="0"/>
          <w:caps w:val="0"/>
          <w:color w:val="555555"/>
          <w:spacing w:val="0"/>
          <w:sz w:val="18"/>
          <w:szCs w:val="18"/>
          <w:shd w:val="clear" w:fill="FAFAFA"/>
          <w:lang w:eastAsia="zh-CN"/>
        </w:rPr>
      </w:pPr>
      <w:r>
        <w:rPr>
          <w:rFonts w:hint="eastAsia" w:ascii="仿宋" w:hAnsi="仿宋" w:eastAsia="仿宋" w:cs="仿宋_GB2312"/>
          <w:b/>
          <w:bCs/>
          <w:kern w:val="0"/>
          <w:sz w:val="32"/>
          <w:szCs w:val="32"/>
        </w:rPr>
        <w:t>25、农林水支出（类）农业农村（款）农村社会事业（项）。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rPr>
        <w:t>元，支出决算为</w:t>
      </w:r>
      <w:r>
        <w:rPr>
          <w:rFonts w:ascii="仿宋" w:hAnsi="仿宋" w:eastAsia="仿宋" w:cs="仿宋_GB2312"/>
          <w:bCs/>
          <w:kern w:val="0"/>
          <w:sz w:val="32"/>
          <w:szCs w:val="32"/>
          <w:u w:val="single"/>
        </w:rPr>
        <w:t>1,050,000.00</w:t>
      </w:r>
      <w:r>
        <w:rPr>
          <w:rFonts w:hint="eastAsia" w:ascii="仿宋" w:hAnsi="仿宋" w:eastAsia="仿宋" w:cs="仿宋_GB2312"/>
          <w:bCs/>
          <w:kern w:val="0"/>
          <w:sz w:val="32"/>
          <w:szCs w:val="32"/>
        </w:rPr>
        <w:t>元，决算数大于预算数的主要原因是：</w:t>
      </w:r>
      <w:r>
        <w:rPr>
          <w:rFonts w:hint="eastAsia" w:ascii="仿宋" w:hAnsi="仿宋" w:eastAsia="仿宋" w:cs="仿宋_GB2312"/>
          <w:bCs/>
          <w:color w:val="000000"/>
          <w:kern w:val="0"/>
          <w:sz w:val="32"/>
          <w:szCs w:val="32"/>
        </w:rPr>
        <w:t>本年度拨付人居环境项目资金</w:t>
      </w:r>
      <w:r>
        <w:rPr>
          <w:rFonts w:hint="eastAsia" w:ascii="仿宋" w:hAnsi="仿宋" w:eastAsia="仿宋" w:cs="仿宋_GB2312"/>
          <w:bCs/>
          <w:color w:val="000000"/>
          <w:kern w:val="0"/>
          <w:sz w:val="32"/>
          <w:szCs w:val="32"/>
          <w:lang w:eastAsia="zh-CN"/>
        </w:rPr>
        <w:t>；</w:t>
      </w:r>
    </w:p>
    <w:p>
      <w:pPr>
        <w:spacing w:line="560" w:lineRule="exact"/>
        <w:ind w:firstLine="630"/>
        <w:rPr>
          <w:rFonts w:hint="eastAsia" w:ascii="仿宋" w:hAnsi="仿宋" w:eastAsia="仿宋" w:cs="仿宋_GB2312"/>
          <w:bCs/>
          <w:color w:val="000000"/>
          <w:kern w:val="0"/>
          <w:sz w:val="32"/>
          <w:szCs w:val="32"/>
          <w:lang w:eastAsia="zh-CN"/>
        </w:rPr>
      </w:pPr>
      <w:r>
        <w:rPr>
          <w:rFonts w:hint="eastAsia" w:ascii="仿宋" w:hAnsi="仿宋" w:eastAsia="仿宋" w:cs="仿宋_GB2312"/>
          <w:b/>
          <w:bCs/>
          <w:kern w:val="0"/>
          <w:sz w:val="32"/>
          <w:szCs w:val="32"/>
        </w:rPr>
        <w:t>26、农林水支出（类）巩固脱贫衔接乡村振兴（款）生产发展（项）。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rPr>
        <w:t>元，支出决算为</w:t>
      </w:r>
      <w:r>
        <w:rPr>
          <w:rFonts w:ascii="仿宋" w:hAnsi="仿宋" w:eastAsia="仿宋" w:cs="仿宋_GB2312"/>
          <w:bCs/>
          <w:kern w:val="0"/>
          <w:sz w:val="32"/>
          <w:szCs w:val="32"/>
          <w:u w:val="single"/>
        </w:rPr>
        <w:t>27,915,644.28</w:t>
      </w:r>
      <w:r>
        <w:rPr>
          <w:rFonts w:hint="eastAsia" w:ascii="仿宋" w:hAnsi="仿宋" w:eastAsia="仿宋" w:cs="仿宋_GB2312"/>
          <w:bCs/>
          <w:kern w:val="0"/>
          <w:sz w:val="32"/>
          <w:szCs w:val="32"/>
        </w:rPr>
        <w:t>元</w:t>
      </w:r>
      <w:r>
        <w:rPr>
          <w:rFonts w:hint="eastAsia" w:ascii="仿宋" w:hAnsi="仿宋" w:eastAsia="仿宋" w:cs="仿宋_GB2312"/>
          <w:bCs/>
          <w:color w:val="000000"/>
          <w:kern w:val="0"/>
          <w:sz w:val="32"/>
          <w:szCs w:val="32"/>
        </w:rPr>
        <w:t>；</w:t>
      </w:r>
      <w:r>
        <w:rPr>
          <w:rFonts w:hint="eastAsia" w:ascii="仿宋" w:hAnsi="仿宋" w:eastAsia="仿宋" w:cs="仿宋_GB2312"/>
          <w:bCs/>
          <w:kern w:val="0"/>
          <w:sz w:val="32"/>
          <w:szCs w:val="32"/>
        </w:rPr>
        <w:t>决算数大于预算数的主要原因是：</w:t>
      </w:r>
      <w:r>
        <w:rPr>
          <w:rFonts w:hint="eastAsia" w:ascii="仿宋" w:hAnsi="仿宋" w:eastAsia="仿宋" w:cs="仿宋_GB2312"/>
          <w:bCs/>
          <w:color w:val="000000"/>
          <w:kern w:val="0"/>
          <w:sz w:val="32"/>
          <w:szCs w:val="32"/>
          <w:lang w:eastAsia="zh-CN"/>
        </w:rPr>
        <w:t>本年度支付乡村振兴项目资金；</w:t>
      </w:r>
    </w:p>
    <w:p>
      <w:pPr>
        <w:spacing w:line="560" w:lineRule="exact"/>
        <w:ind w:firstLine="630"/>
        <w:rPr>
          <w:rFonts w:ascii="仿宋" w:hAnsi="仿宋" w:eastAsia="仿宋" w:cs="仿宋_GB2312"/>
          <w:bCs/>
          <w:kern w:val="0"/>
          <w:sz w:val="32"/>
          <w:szCs w:val="32"/>
        </w:rPr>
      </w:pPr>
      <w:r>
        <w:rPr>
          <w:rFonts w:hint="eastAsia" w:ascii="仿宋" w:hAnsi="仿宋" w:eastAsia="仿宋" w:cs="仿宋_GB2312"/>
          <w:b/>
          <w:bCs/>
          <w:kern w:val="0"/>
          <w:sz w:val="32"/>
          <w:szCs w:val="32"/>
        </w:rPr>
        <w:t>27、农林水支出（类）巩固脱贫衔接乡村振兴（款）  其他巩固脱贫衔接乡村振兴支出（项）。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rPr>
        <w:t>元，支出决算为</w:t>
      </w:r>
      <w:r>
        <w:rPr>
          <w:rFonts w:ascii="仿宋" w:hAnsi="仿宋" w:eastAsia="仿宋" w:cs="仿宋_GB2312"/>
          <w:bCs/>
          <w:kern w:val="0"/>
          <w:sz w:val="32"/>
          <w:szCs w:val="32"/>
          <w:u w:val="single"/>
        </w:rPr>
        <w:t>1,613,700.00</w:t>
      </w:r>
      <w:r>
        <w:rPr>
          <w:rFonts w:hint="eastAsia" w:ascii="仿宋" w:hAnsi="仿宋" w:eastAsia="仿宋" w:cs="仿宋_GB2312"/>
          <w:bCs/>
          <w:kern w:val="0"/>
          <w:sz w:val="32"/>
          <w:szCs w:val="32"/>
        </w:rPr>
        <w:t>元</w:t>
      </w:r>
      <w:r>
        <w:rPr>
          <w:rFonts w:hint="eastAsia" w:ascii="仿宋" w:hAnsi="仿宋" w:eastAsia="仿宋" w:cs="仿宋_GB2312"/>
          <w:bCs/>
          <w:color w:val="000000"/>
          <w:kern w:val="0"/>
          <w:sz w:val="32"/>
          <w:szCs w:val="32"/>
        </w:rPr>
        <w:t>；</w:t>
      </w:r>
      <w:r>
        <w:rPr>
          <w:rFonts w:hint="eastAsia" w:ascii="仿宋" w:hAnsi="仿宋" w:eastAsia="仿宋" w:cs="仿宋_GB2312"/>
          <w:bCs/>
          <w:kern w:val="0"/>
          <w:sz w:val="32"/>
          <w:szCs w:val="32"/>
        </w:rPr>
        <w:t>决算数大于预算数的主要原因是：</w:t>
      </w:r>
      <w:r>
        <w:rPr>
          <w:rFonts w:hint="eastAsia" w:ascii="仿宋" w:hAnsi="仿宋" w:eastAsia="仿宋" w:cs="仿宋_GB2312"/>
          <w:bCs/>
          <w:color w:val="000000"/>
          <w:kern w:val="0"/>
          <w:sz w:val="32"/>
          <w:szCs w:val="32"/>
          <w:lang w:eastAsia="zh-CN"/>
        </w:rPr>
        <w:t>本年度支付乡村振兴项目资金；</w:t>
      </w:r>
    </w:p>
    <w:p>
      <w:pPr>
        <w:spacing w:line="560" w:lineRule="exact"/>
        <w:ind w:firstLine="630"/>
        <w:rPr>
          <w:rFonts w:hint="eastAsia" w:ascii="仿宋" w:hAnsi="仿宋" w:eastAsia="仿宋" w:cs="仿宋_GB2312"/>
          <w:bCs/>
          <w:kern w:val="0"/>
          <w:sz w:val="32"/>
          <w:szCs w:val="32"/>
          <w:lang w:eastAsia="zh-CN"/>
        </w:rPr>
      </w:pPr>
      <w:r>
        <w:rPr>
          <w:rFonts w:hint="eastAsia" w:ascii="仿宋" w:hAnsi="仿宋" w:eastAsia="仿宋" w:cs="仿宋_GB2312"/>
          <w:b/>
          <w:bCs/>
          <w:kern w:val="0"/>
          <w:sz w:val="32"/>
          <w:szCs w:val="32"/>
        </w:rPr>
        <w:t>28、农林水支出（类）农村综合改革（款）对村级公益事业建设的补助（项）。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rPr>
        <w:t>元，支出决算为</w:t>
      </w:r>
      <w:r>
        <w:rPr>
          <w:rFonts w:ascii="仿宋" w:hAnsi="仿宋" w:eastAsia="仿宋" w:cs="仿宋_GB2312"/>
          <w:bCs/>
          <w:kern w:val="0"/>
          <w:sz w:val="32"/>
          <w:szCs w:val="32"/>
          <w:u w:val="single"/>
        </w:rPr>
        <w:t>6,779,243.73</w:t>
      </w:r>
      <w:r>
        <w:rPr>
          <w:rFonts w:hint="eastAsia" w:ascii="仿宋" w:hAnsi="仿宋" w:eastAsia="仿宋" w:cs="仿宋_GB2312"/>
          <w:bCs/>
          <w:kern w:val="0"/>
          <w:sz w:val="32"/>
          <w:szCs w:val="32"/>
        </w:rPr>
        <w:t>元，决算数大于预算数的主要原因是：</w:t>
      </w:r>
      <w:r>
        <w:rPr>
          <w:rFonts w:hint="eastAsia" w:ascii="仿宋" w:hAnsi="仿宋" w:eastAsia="仿宋" w:cs="仿宋_GB2312"/>
          <w:bCs/>
          <w:kern w:val="0"/>
          <w:sz w:val="32"/>
          <w:szCs w:val="32"/>
          <w:lang w:eastAsia="zh-CN"/>
        </w:rPr>
        <w:t>本年度支付农村公益事业及人居环境整治；</w:t>
      </w:r>
    </w:p>
    <w:p>
      <w:pPr>
        <w:spacing w:line="560" w:lineRule="exact"/>
        <w:ind w:firstLine="630"/>
        <w:rPr>
          <w:rFonts w:hint="eastAsia" w:ascii="微软雅黑" w:hAnsi="微软雅黑" w:eastAsia="微软雅黑" w:cs="微软雅黑"/>
          <w:i w:val="0"/>
          <w:caps w:val="0"/>
          <w:color w:val="555555"/>
          <w:spacing w:val="0"/>
          <w:sz w:val="18"/>
          <w:szCs w:val="18"/>
          <w:shd w:val="clear" w:fill="FAFAFA"/>
          <w:lang w:eastAsia="zh-CN"/>
        </w:rPr>
      </w:pPr>
      <w:r>
        <w:rPr>
          <w:rFonts w:hint="eastAsia" w:ascii="仿宋" w:hAnsi="仿宋" w:eastAsia="仿宋" w:cs="仿宋_GB2312"/>
          <w:b/>
          <w:bCs/>
          <w:kern w:val="0"/>
          <w:sz w:val="32"/>
          <w:szCs w:val="32"/>
        </w:rPr>
        <w:t>29、农林水支出（类）农村综合改革（款）对村民委员会和村党支部的补助（项）。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rPr>
        <w:t>元，支出决算为</w:t>
      </w:r>
      <w:r>
        <w:rPr>
          <w:rFonts w:ascii="仿宋" w:hAnsi="仿宋" w:eastAsia="仿宋" w:cs="仿宋_GB2312"/>
          <w:bCs/>
          <w:kern w:val="0"/>
          <w:sz w:val="32"/>
          <w:szCs w:val="32"/>
          <w:u w:val="single"/>
        </w:rPr>
        <w:t>2,120,000.00</w:t>
      </w:r>
      <w:r>
        <w:rPr>
          <w:rFonts w:hint="eastAsia" w:ascii="仿宋" w:hAnsi="仿宋" w:eastAsia="仿宋" w:cs="仿宋_GB2312"/>
          <w:bCs/>
          <w:kern w:val="0"/>
          <w:sz w:val="32"/>
          <w:szCs w:val="32"/>
        </w:rPr>
        <w:t>元，决算数大于预算数的主要原因是：</w:t>
      </w:r>
      <w:r>
        <w:rPr>
          <w:rFonts w:hint="eastAsia" w:ascii="仿宋" w:hAnsi="仿宋" w:eastAsia="仿宋" w:cs="仿宋_GB2312"/>
          <w:bCs/>
          <w:kern w:val="0"/>
          <w:sz w:val="32"/>
          <w:szCs w:val="32"/>
          <w:lang w:eastAsia="zh-CN"/>
        </w:rPr>
        <w:t>本年度支付</w:t>
      </w:r>
      <w:r>
        <w:rPr>
          <w:rFonts w:hint="eastAsia" w:ascii="仿宋" w:hAnsi="仿宋" w:eastAsia="仿宋" w:cs="仿宋_GB2312"/>
          <w:bCs/>
          <w:kern w:val="0"/>
          <w:sz w:val="32"/>
          <w:szCs w:val="32"/>
        </w:rPr>
        <w:t>壮大村集体经济项目</w:t>
      </w:r>
      <w:r>
        <w:rPr>
          <w:rFonts w:hint="eastAsia" w:ascii="仿宋" w:hAnsi="仿宋" w:eastAsia="仿宋" w:cs="仿宋_GB2312"/>
          <w:bCs/>
          <w:kern w:val="0"/>
          <w:sz w:val="32"/>
          <w:szCs w:val="32"/>
          <w:lang w:eastAsia="zh-CN"/>
        </w:rPr>
        <w:t>、乡村治理及办公经费；</w:t>
      </w:r>
    </w:p>
    <w:p>
      <w:pPr>
        <w:spacing w:line="560" w:lineRule="exact"/>
        <w:ind w:firstLine="630"/>
        <w:rPr>
          <w:rFonts w:ascii="仿宋" w:hAnsi="仿宋" w:eastAsia="仿宋" w:cs="仿宋_GB2312"/>
          <w:bCs/>
          <w:kern w:val="0"/>
          <w:sz w:val="32"/>
          <w:szCs w:val="32"/>
        </w:rPr>
      </w:pPr>
      <w:r>
        <w:rPr>
          <w:rFonts w:hint="eastAsia" w:ascii="仿宋" w:hAnsi="仿宋" w:eastAsia="仿宋" w:cs="仿宋_GB2312"/>
          <w:b/>
          <w:bCs/>
          <w:kern w:val="0"/>
          <w:sz w:val="32"/>
          <w:szCs w:val="32"/>
        </w:rPr>
        <w:t>30、农林水支出（类）农村综合改革（款）对村集体经济组织的补助（项）。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rPr>
        <w:t>元，支出决算为</w:t>
      </w:r>
      <w:r>
        <w:rPr>
          <w:rFonts w:ascii="仿宋" w:hAnsi="仿宋" w:eastAsia="仿宋" w:cs="仿宋_GB2312"/>
          <w:bCs/>
          <w:kern w:val="0"/>
          <w:sz w:val="32"/>
          <w:szCs w:val="32"/>
          <w:u w:val="single"/>
        </w:rPr>
        <w:t>1,600,000.00</w:t>
      </w:r>
      <w:r>
        <w:rPr>
          <w:rFonts w:hint="eastAsia" w:ascii="仿宋" w:hAnsi="仿宋" w:eastAsia="仿宋" w:cs="仿宋_GB2312"/>
          <w:bCs/>
          <w:kern w:val="0"/>
          <w:sz w:val="32"/>
          <w:szCs w:val="32"/>
        </w:rPr>
        <w:t>元，决算数大于预算数的主要原因是：</w:t>
      </w:r>
      <w:r>
        <w:rPr>
          <w:rFonts w:hint="eastAsia" w:ascii="仿宋" w:hAnsi="仿宋" w:eastAsia="仿宋" w:cs="仿宋_GB2312"/>
          <w:bCs/>
          <w:kern w:val="0"/>
          <w:sz w:val="32"/>
          <w:szCs w:val="32"/>
          <w:lang w:eastAsia="zh-CN"/>
        </w:rPr>
        <w:t>拨付</w:t>
      </w:r>
      <w:r>
        <w:rPr>
          <w:rFonts w:hint="eastAsia" w:ascii="仿宋" w:hAnsi="仿宋" w:eastAsia="仿宋" w:cs="仿宋_GB2312"/>
          <w:bCs/>
          <w:kern w:val="0"/>
          <w:sz w:val="32"/>
          <w:szCs w:val="32"/>
        </w:rPr>
        <w:t>壮大村集体紧项目资金；</w:t>
      </w:r>
    </w:p>
    <w:p>
      <w:pPr>
        <w:spacing w:line="560" w:lineRule="exact"/>
        <w:ind w:firstLine="643" w:firstLineChars="200"/>
        <w:rPr>
          <w:rFonts w:ascii="仿宋" w:hAnsi="仿宋" w:eastAsia="仿宋" w:cs="仿宋_GB2312"/>
          <w:bCs/>
          <w:kern w:val="0"/>
          <w:sz w:val="32"/>
          <w:szCs w:val="32"/>
          <w:u w:val="single"/>
        </w:rPr>
      </w:pPr>
      <w:r>
        <w:rPr>
          <w:rFonts w:hint="eastAsia" w:ascii="仿宋" w:hAnsi="仿宋" w:eastAsia="仿宋" w:cs="仿宋_GB2312"/>
          <w:b/>
          <w:bCs/>
          <w:kern w:val="0"/>
          <w:sz w:val="32"/>
          <w:szCs w:val="32"/>
        </w:rPr>
        <w:t>31、住房保障支出（类）住房改革支出（款）住房公积金（项）。</w:t>
      </w:r>
      <w:r>
        <w:rPr>
          <w:rFonts w:hint="eastAsia" w:ascii="仿宋" w:hAnsi="仿宋" w:eastAsia="仿宋" w:cs="仿宋_GB2312"/>
          <w:bCs/>
          <w:kern w:val="0"/>
          <w:sz w:val="32"/>
          <w:szCs w:val="32"/>
        </w:rPr>
        <w:t>年初预算为445</w:t>
      </w:r>
      <w:r>
        <w:rPr>
          <w:rFonts w:ascii="仿宋" w:hAnsi="仿宋" w:eastAsia="仿宋" w:cs="仿宋_GB2312"/>
          <w:bCs/>
          <w:kern w:val="0"/>
          <w:sz w:val="32"/>
          <w:szCs w:val="32"/>
          <w:u w:val="single"/>
        </w:rPr>
        <w:t>,</w:t>
      </w:r>
      <w:r>
        <w:rPr>
          <w:rFonts w:hint="eastAsia" w:ascii="仿宋" w:hAnsi="仿宋" w:eastAsia="仿宋" w:cs="仿宋_GB2312"/>
          <w:bCs/>
          <w:kern w:val="0"/>
          <w:sz w:val="32"/>
          <w:szCs w:val="32"/>
        </w:rPr>
        <w:t>618</w:t>
      </w:r>
      <w:r>
        <w:rPr>
          <w:rFonts w:hint="eastAsia" w:ascii="仿宋" w:hAnsi="仿宋" w:eastAsia="仿宋" w:cs="仿宋_GB2312"/>
          <w:bCs/>
          <w:kern w:val="0"/>
          <w:sz w:val="32"/>
          <w:szCs w:val="32"/>
          <w:lang w:val="en-US" w:eastAsia="zh-CN"/>
        </w:rPr>
        <w:t>.00</w:t>
      </w:r>
      <w:r>
        <w:rPr>
          <w:rFonts w:hint="eastAsia" w:ascii="仿宋" w:hAnsi="仿宋" w:eastAsia="仿宋" w:cs="仿宋_GB2312"/>
          <w:bCs/>
          <w:kern w:val="0"/>
          <w:sz w:val="32"/>
          <w:szCs w:val="32"/>
        </w:rPr>
        <w:t>元，支出决算为</w:t>
      </w:r>
      <w:r>
        <w:rPr>
          <w:rFonts w:ascii="仿宋" w:hAnsi="仿宋" w:eastAsia="仿宋" w:cs="仿宋_GB2312"/>
          <w:bCs/>
          <w:kern w:val="0"/>
          <w:sz w:val="32"/>
          <w:szCs w:val="32"/>
          <w:u w:val="single"/>
        </w:rPr>
        <w:t>764,671.00</w:t>
      </w:r>
      <w:r>
        <w:rPr>
          <w:rFonts w:hint="eastAsia" w:ascii="仿宋" w:hAnsi="仿宋" w:eastAsia="仿宋" w:cs="仿宋_GB2312"/>
          <w:bCs/>
          <w:kern w:val="0"/>
          <w:sz w:val="32"/>
          <w:szCs w:val="32"/>
        </w:rPr>
        <w:t>元，决算数</w:t>
      </w:r>
      <w:r>
        <w:rPr>
          <w:rFonts w:hint="eastAsia" w:ascii="仿宋" w:hAnsi="仿宋" w:eastAsia="仿宋" w:cs="仿宋_GB2312"/>
          <w:bCs/>
          <w:kern w:val="0"/>
          <w:sz w:val="32"/>
          <w:szCs w:val="32"/>
          <w:lang w:eastAsia="zh-CN"/>
        </w:rPr>
        <w:t>小于</w:t>
      </w:r>
      <w:r>
        <w:rPr>
          <w:rFonts w:hint="eastAsia" w:ascii="仿宋" w:hAnsi="仿宋" w:eastAsia="仿宋" w:cs="仿宋_GB2312"/>
          <w:bCs/>
          <w:kern w:val="0"/>
          <w:sz w:val="32"/>
          <w:szCs w:val="32"/>
        </w:rPr>
        <w:t>预算数的主要原因是：本年度</w:t>
      </w:r>
      <w:r>
        <w:rPr>
          <w:rFonts w:hint="eastAsia" w:ascii="仿宋" w:hAnsi="仿宋" w:eastAsia="仿宋" w:cs="仿宋_GB2312"/>
          <w:bCs/>
          <w:kern w:val="0"/>
          <w:sz w:val="32"/>
          <w:szCs w:val="32"/>
          <w:lang w:eastAsia="zh-CN"/>
        </w:rPr>
        <w:t>支付</w:t>
      </w:r>
      <w:r>
        <w:rPr>
          <w:rFonts w:hint="eastAsia" w:ascii="仿宋" w:hAnsi="仿宋" w:eastAsia="仿宋" w:cs="仿宋_GB2312"/>
          <w:bCs/>
          <w:kern w:val="0"/>
          <w:sz w:val="32"/>
          <w:szCs w:val="32"/>
        </w:rPr>
        <w:t>在职人员</w:t>
      </w:r>
      <w:r>
        <w:rPr>
          <w:rFonts w:hint="eastAsia" w:ascii="仿宋" w:hAnsi="仿宋" w:eastAsia="仿宋" w:cs="仿宋_GB2312"/>
          <w:bCs/>
          <w:kern w:val="0"/>
          <w:sz w:val="32"/>
          <w:szCs w:val="32"/>
          <w:lang w:val="en-US" w:eastAsia="zh-CN"/>
        </w:rPr>
        <w:t>2022</w:t>
      </w:r>
      <w:r>
        <w:rPr>
          <w:rFonts w:hint="eastAsia" w:ascii="仿宋" w:hAnsi="仿宋" w:eastAsia="仿宋" w:cs="仿宋_GB2312"/>
          <w:bCs/>
          <w:kern w:val="0"/>
          <w:sz w:val="32"/>
          <w:szCs w:val="32"/>
        </w:rPr>
        <w:t>年度住房公积金 ；</w:t>
      </w:r>
    </w:p>
    <w:p>
      <w:pPr>
        <w:spacing w:line="560" w:lineRule="exact"/>
        <w:ind w:firstLine="643" w:firstLineChars="200"/>
        <w:rPr>
          <w:rFonts w:ascii="仿宋" w:hAnsi="仿宋" w:eastAsia="仿宋" w:cs="仿宋_GB2312"/>
          <w:bCs/>
          <w:kern w:val="0"/>
          <w:sz w:val="32"/>
          <w:szCs w:val="32"/>
        </w:rPr>
      </w:pPr>
      <w:r>
        <w:rPr>
          <w:rFonts w:hint="eastAsia" w:ascii="仿宋" w:hAnsi="仿宋" w:eastAsia="仿宋" w:cs="仿宋_GB2312"/>
          <w:b/>
          <w:bCs/>
          <w:kern w:val="0"/>
          <w:sz w:val="32"/>
          <w:szCs w:val="32"/>
        </w:rPr>
        <w:t>32、住房保障支出（类）住房改革支出（款）购房补贴（项）。</w:t>
      </w:r>
      <w:r>
        <w:rPr>
          <w:rFonts w:hint="eastAsia" w:ascii="仿宋" w:hAnsi="仿宋" w:eastAsia="仿宋" w:cs="仿宋_GB2312"/>
          <w:bCs/>
          <w:kern w:val="0"/>
          <w:sz w:val="32"/>
          <w:szCs w:val="32"/>
        </w:rPr>
        <w:t>年初预算为</w:t>
      </w:r>
      <w:r>
        <w:rPr>
          <w:rFonts w:hint="eastAsia" w:ascii="仿宋" w:hAnsi="仿宋" w:eastAsia="仿宋" w:cs="仿宋_GB2312"/>
          <w:bCs/>
          <w:kern w:val="0"/>
          <w:sz w:val="32"/>
          <w:szCs w:val="32"/>
          <w:u w:val="single"/>
        </w:rPr>
        <w:t>0</w:t>
      </w:r>
      <w:r>
        <w:rPr>
          <w:rFonts w:hint="eastAsia" w:ascii="仿宋" w:hAnsi="仿宋" w:eastAsia="仿宋" w:cs="仿宋_GB2312"/>
          <w:bCs/>
          <w:kern w:val="0"/>
          <w:sz w:val="32"/>
          <w:szCs w:val="32"/>
        </w:rPr>
        <w:t>元，支出决算为</w:t>
      </w:r>
      <w:r>
        <w:rPr>
          <w:rFonts w:ascii="仿宋" w:hAnsi="仿宋" w:eastAsia="仿宋" w:cs="仿宋_GB2312"/>
          <w:bCs/>
          <w:kern w:val="0"/>
          <w:sz w:val="32"/>
          <w:szCs w:val="32"/>
          <w:u w:val="single"/>
        </w:rPr>
        <w:t>116,999.70</w:t>
      </w:r>
      <w:r>
        <w:rPr>
          <w:rFonts w:hint="eastAsia" w:ascii="仿宋" w:hAnsi="仿宋" w:eastAsia="仿宋" w:cs="仿宋_GB2312"/>
          <w:bCs/>
          <w:kern w:val="0"/>
          <w:sz w:val="32"/>
          <w:szCs w:val="32"/>
        </w:rPr>
        <w:t>元，决算数大于预算数的主要原因是：本年度单位发放在职人员</w:t>
      </w:r>
      <w:r>
        <w:rPr>
          <w:rFonts w:hint="eastAsia" w:ascii="仿宋" w:hAnsi="仿宋" w:eastAsia="仿宋" w:cs="仿宋_GB2312"/>
          <w:bCs/>
          <w:kern w:val="0"/>
          <w:sz w:val="32"/>
          <w:szCs w:val="32"/>
          <w:lang w:val="en-US" w:eastAsia="zh-CN"/>
        </w:rPr>
        <w:t>2021</w:t>
      </w:r>
      <w:r>
        <w:rPr>
          <w:rFonts w:hint="eastAsia" w:ascii="仿宋" w:hAnsi="仿宋" w:eastAsia="仿宋" w:cs="仿宋_GB2312"/>
          <w:bCs/>
          <w:kern w:val="0"/>
          <w:sz w:val="32"/>
          <w:szCs w:val="32"/>
        </w:rPr>
        <w:t>年度住房补贴 ；</w:t>
      </w:r>
    </w:p>
    <w:p>
      <w:pPr>
        <w:spacing w:line="56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六、一般公共预算财政拨款基本支出决算情况说明</w:t>
      </w:r>
    </w:p>
    <w:p>
      <w:pPr>
        <w:pStyle w:val="17"/>
        <w:spacing w:line="560" w:lineRule="exact"/>
        <w:ind w:firstLine="640" w:firstLineChars="200"/>
        <w:rPr>
          <w:rFonts w:ascii="仿宋_GB2312" w:hAnsi="宋体" w:eastAsia="仿宋_GB2312" w:cs="Times New Roman"/>
          <w:color w:val="auto"/>
          <w:sz w:val="32"/>
          <w:szCs w:val="32"/>
        </w:rPr>
      </w:pPr>
      <w:r>
        <w:rPr>
          <w:rFonts w:ascii="仿宋_GB2312" w:hAnsi="宋体" w:eastAsia="仿宋_GB2312" w:cs="Times New Roman"/>
          <w:color w:val="auto"/>
          <w:sz w:val="32"/>
          <w:szCs w:val="32"/>
        </w:rPr>
        <w:t>202</w:t>
      </w:r>
      <w:r>
        <w:rPr>
          <w:rFonts w:hint="eastAsia" w:ascii="仿宋_GB2312" w:hAnsi="宋体" w:eastAsia="仿宋_GB2312" w:cs="Times New Roman"/>
          <w:color w:val="auto"/>
          <w:sz w:val="32"/>
          <w:szCs w:val="32"/>
        </w:rPr>
        <w:t>2年度一般公共预算财政拨款基本支出</w:t>
      </w:r>
      <w:r>
        <w:rPr>
          <w:rFonts w:ascii="仿宋_GB2312" w:hAnsi="仿宋_GB2312" w:eastAsia="仿宋_GB2312" w:cs="仿宋_GB2312"/>
          <w:sz w:val="32"/>
          <w:szCs w:val="32"/>
        </w:rPr>
        <w:t>246,790,062.73</w:t>
      </w:r>
      <w:r>
        <w:rPr>
          <w:rFonts w:hint="eastAsia" w:ascii="仿宋_GB2312" w:hAnsi="宋体" w:eastAsia="仿宋_GB2312" w:cs="Times New Roman"/>
          <w:color w:val="auto"/>
          <w:sz w:val="32"/>
          <w:szCs w:val="32"/>
        </w:rPr>
        <w:t>元，</w:t>
      </w:r>
      <w:r>
        <w:rPr>
          <w:rFonts w:ascii="仿宋_GB2312" w:hAnsi="宋体" w:eastAsia="仿宋_GB2312"/>
          <w:sz w:val="32"/>
          <w:szCs w:val="32"/>
        </w:rPr>
        <w:t>其中：人员经费</w:t>
      </w:r>
      <w:r>
        <w:rPr>
          <w:rFonts w:ascii="仿宋_GB2312" w:hAnsi="仿宋_GB2312" w:eastAsia="仿宋_GB2312" w:cs="仿宋_GB2312"/>
          <w:sz w:val="32"/>
          <w:szCs w:val="32"/>
        </w:rPr>
        <w:t>15,656,635.53</w:t>
      </w:r>
      <w:r>
        <w:rPr>
          <w:rFonts w:ascii="仿宋_GB2312" w:hAnsi="宋体" w:eastAsia="仿宋_GB2312"/>
          <w:sz w:val="32"/>
          <w:szCs w:val="32"/>
        </w:rPr>
        <w:t>元，公用经费</w:t>
      </w:r>
      <w:r>
        <w:rPr>
          <w:rFonts w:ascii="仿宋_GB2312" w:hAnsi="仿宋_GB2312" w:eastAsia="仿宋_GB2312" w:cs="仿宋_GB2312"/>
          <w:sz w:val="32"/>
          <w:szCs w:val="32"/>
        </w:rPr>
        <w:t>1,044,025.08</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widowControl/>
        <w:adjustRightInd w:val="0"/>
        <w:snapToGrid w:val="0"/>
        <w:ind w:firstLine="480" w:firstLineChars="150"/>
        <w:rPr>
          <w:rFonts w:ascii="仿宋_GB2312" w:hAnsi="宋体" w:eastAsia="仿宋_GB2312"/>
          <w:kern w:val="0"/>
          <w:sz w:val="32"/>
          <w:szCs w:val="32"/>
        </w:rPr>
      </w:pPr>
      <w:r>
        <w:rPr>
          <w:rFonts w:ascii="仿宋" w:hAnsi="仿宋" w:eastAsia="仿宋"/>
          <w:color w:val="000000"/>
          <w:kern w:val="0"/>
          <w:sz w:val="32"/>
          <w:szCs w:val="32"/>
        </w:rPr>
        <w:t>1.</w:t>
      </w:r>
      <w:r>
        <w:rPr>
          <w:rFonts w:hint="eastAsia" w:ascii="仿宋" w:hAnsi="仿宋" w:eastAsia="仿宋"/>
          <w:color w:val="000000"/>
          <w:kern w:val="0"/>
          <w:sz w:val="32"/>
          <w:szCs w:val="32"/>
        </w:rPr>
        <w:t>工资福利支出</w:t>
      </w:r>
      <w:r>
        <w:rPr>
          <w:rFonts w:ascii="仿宋_GB2312" w:hAnsi="宋体" w:eastAsia="仿宋_GB2312"/>
          <w:kern w:val="0"/>
          <w:sz w:val="32"/>
          <w:szCs w:val="32"/>
        </w:rPr>
        <w:t>15,082,561.51</w:t>
      </w:r>
      <w:r>
        <w:rPr>
          <w:rFonts w:hint="eastAsia" w:ascii="仿宋_GB2312" w:hAnsi="宋体" w:eastAsia="仿宋_GB2312"/>
          <w:kern w:val="0"/>
          <w:sz w:val="32"/>
          <w:szCs w:val="32"/>
        </w:rPr>
        <w:t>元，较上年决算数增加5549177.68元，增长58.2</w:t>
      </w:r>
      <w:r>
        <w:rPr>
          <w:rFonts w:ascii="仿宋_GB2312" w:hAnsi="宋体" w:eastAsia="仿宋_GB2312"/>
          <w:kern w:val="0"/>
          <w:sz w:val="32"/>
          <w:szCs w:val="32"/>
        </w:rPr>
        <w:t>%</w:t>
      </w:r>
      <w:r>
        <w:rPr>
          <w:rFonts w:hint="eastAsia" w:ascii="仿宋_GB2312" w:hAnsi="宋体" w:eastAsia="仿宋_GB2312"/>
          <w:kern w:val="0"/>
          <w:sz w:val="32"/>
          <w:szCs w:val="32"/>
        </w:rPr>
        <w:t>；主要原因是本年度职工调资、林场移交人员工资及社保、村干部工资、绩效及公积金（单位部分）；</w:t>
      </w:r>
    </w:p>
    <w:p>
      <w:pPr>
        <w:ind w:firstLine="480" w:firstLineChars="150"/>
        <w:rPr>
          <w:rFonts w:hint="eastAsia" w:ascii="仿宋_GB2312" w:hAnsi="宋体" w:eastAsia="仿宋_GB2312"/>
          <w:kern w:val="0"/>
          <w:sz w:val="32"/>
          <w:szCs w:val="32"/>
          <w:lang w:eastAsia="zh-CN"/>
        </w:rPr>
      </w:pPr>
      <w:r>
        <w:rPr>
          <w:rFonts w:ascii="仿宋_GB2312" w:hAnsi="宋体" w:eastAsia="仿宋_GB2312"/>
          <w:kern w:val="0"/>
          <w:sz w:val="32"/>
          <w:szCs w:val="32"/>
        </w:rPr>
        <w:t>2.</w:t>
      </w:r>
      <w:r>
        <w:rPr>
          <w:rFonts w:hint="eastAsia" w:ascii="仿宋_GB2312" w:hAnsi="宋体" w:eastAsia="仿宋_GB2312"/>
          <w:kern w:val="0"/>
          <w:sz w:val="32"/>
          <w:szCs w:val="32"/>
        </w:rPr>
        <w:t>商品和服务支出</w:t>
      </w:r>
      <w:r>
        <w:rPr>
          <w:rFonts w:hint="eastAsia" w:ascii="仿宋_GB2312" w:hAnsi="宋体" w:eastAsia="仿宋_GB2312"/>
          <w:kern w:val="0"/>
          <w:sz w:val="32"/>
          <w:szCs w:val="32"/>
          <w:lang w:val="en-US" w:eastAsia="zh-CN"/>
        </w:rPr>
        <w:t>54</w:t>
      </w:r>
      <w:r>
        <w:rPr>
          <w:rFonts w:ascii="仿宋_GB2312" w:hAnsi="宋体" w:eastAsia="仿宋_GB2312"/>
          <w:kern w:val="0"/>
          <w:sz w:val="32"/>
          <w:szCs w:val="32"/>
        </w:rPr>
        <w:t>,</w:t>
      </w:r>
      <w:r>
        <w:rPr>
          <w:rFonts w:hint="eastAsia" w:ascii="仿宋_GB2312" w:hAnsi="宋体" w:eastAsia="仿宋_GB2312"/>
          <w:kern w:val="0"/>
          <w:sz w:val="32"/>
          <w:szCs w:val="32"/>
          <w:lang w:val="en-US" w:eastAsia="zh-CN"/>
        </w:rPr>
        <w:t>890</w:t>
      </w:r>
      <w:r>
        <w:rPr>
          <w:rFonts w:ascii="仿宋_GB2312" w:hAnsi="宋体" w:eastAsia="仿宋_GB2312"/>
          <w:kern w:val="0"/>
          <w:sz w:val="32"/>
          <w:szCs w:val="32"/>
        </w:rPr>
        <w:t>,</w:t>
      </w:r>
      <w:r>
        <w:rPr>
          <w:rFonts w:hint="eastAsia" w:ascii="仿宋_GB2312" w:hAnsi="宋体" w:eastAsia="仿宋_GB2312"/>
          <w:kern w:val="0"/>
          <w:sz w:val="32"/>
          <w:szCs w:val="32"/>
          <w:lang w:val="en-US" w:eastAsia="zh-CN"/>
        </w:rPr>
        <w:t>348</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71</w:t>
      </w:r>
      <w:r>
        <w:rPr>
          <w:rFonts w:hint="eastAsia" w:ascii="仿宋_GB2312" w:hAnsi="宋体" w:eastAsia="仿宋_GB2312"/>
          <w:kern w:val="0"/>
          <w:sz w:val="32"/>
          <w:szCs w:val="32"/>
        </w:rPr>
        <w:t>元，较上年决算数</w:t>
      </w:r>
      <w:r>
        <w:rPr>
          <w:rFonts w:hint="eastAsia" w:ascii="仿宋_GB2312" w:hAnsi="宋体" w:eastAsia="仿宋_GB2312"/>
          <w:kern w:val="0"/>
          <w:sz w:val="32"/>
          <w:szCs w:val="32"/>
          <w:lang w:eastAsia="zh-CN"/>
        </w:rPr>
        <w:t>增加</w:t>
      </w:r>
      <w:r>
        <w:rPr>
          <w:rFonts w:hint="eastAsia" w:ascii="仿宋_GB2312" w:hAnsi="宋体" w:eastAsia="仿宋_GB2312"/>
          <w:kern w:val="0"/>
          <w:sz w:val="32"/>
          <w:szCs w:val="32"/>
        </w:rPr>
        <w:t>主要原因是：社区村集体党建经费、美丽项目等项目部分支出无法区分，计入其他商品和服务支出</w:t>
      </w:r>
      <w:r>
        <w:rPr>
          <w:rFonts w:hint="eastAsia" w:ascii="仿宋_GB2312" w:hAnsi="宋体" w:eastAsia="仿宋_GB2312"/>
          <w:kern w:val="0"/>
          <w:sz w:val="32"/>
          <w:szCs w:val="32"/>
          <w:lang w:eastAsia="zh-CN"/>
        </w:rPr>
        <w:t>；</w:t>
      </w:r>
    </w:p>
    <w:p>
      <w:pPr>
        <w:widowControl/>
        <w:adjustRightInd w:val="0"/>
        <w:snapToGrid w:val="0"/>
        <w:ind w:firstLine="480" w:firstLineChars="150"/>
        <w:rPr>
          <w:rFonts w:ascii="仿宋_GB2312" w:hAnsi="宋体" w:eastAsia="仿宋_GB2312"/>
          <w:kern w:val="0"/>
          <w:sz w:val="32"/>
          <w:szCs w:val="32"/>
        </w:rPr>
      </w:pPr>
      <w:r>
        <w:rPr>
          <w:rFonts w:ascii="仿宋_GB2312" w:hAnsi="宋体" w:eastAsia="仿宋_GB2312"/>
          <w:kern w:val="0"/>
          <w:sz w:val="32"/>
          <w:szCs w:val="32"/>
        </w:rPr>
        <w:t>3.</w:t>
      </w:r>
      <w:r>
        <w:rPr>
          <w:rFonts w:hint="eastAsia" w:ascii="仿宋_GB2312" w:hAnsi="宋体" w:eastAsia="仿宋_GB2312"/>
          <w:kern w:val="0"/>
          <w:sz w:val="32"/>
          <w:szCs w:val="32"/>
        </w:rPr>
        <w:t>对个人和家庭的补助</w:t>
      </w:r>
      <w:r>
        <w:rPr>
          <w:rFonts w:ascii="仿宋_GB2312" w:hAnsi="宋体" w:eastAsia="仿宋_GB2312"/>
          <w:kern w:val="0"/>
          <w:sz w:val="32"/>
          <w:szCs w:val="32"/>
        </w:rPr>
        <w:t>1,667,371.21</w:t>
      </w:r>
      <w:r>
        <w:rPr>
          <w:rFonts w:hint="eastAsia" w:ascii="仿宋_GB2312" w:hAnsi="宋体" w:eastAsia="仿宋_GB2312"/>
          <w:kern w:val="0"/>
          <w:sz w:val="32"/>
          <w:szCs w:val="32"/>
        </w:rPr>
        <w:t>元，较上年决算数增加，主要原因是村干部工资、绩效及公积金（单位部分）计入其他工资福利支出；</w:t>
      </w:r>
    </w:p>
    <w:p>
      <w:pPr>
        <w:widowControl/>
        <w:adjustRightInd w:val="0"/>
        <w:snapToGrid w:val="0"/>
        <w:ind w:firstLine="640" w:firstLineChars="200"/>
        <w:rPr>
          <w:rFonts w:ascii="仿宋_GB2312" w:hAnsi="宋体" w:eastAsia="仿宋_GB2312"/>
          <w:kern w:val="0"/>
          <w:sz w:val="32"/>
          <w:szCs w:val="32"/>
        </w:rPr>
      </w:pPr>
      <w:r>
        <w:rPr>
          <w:rFonts w:ascii="仿宋_GB2312" w:hAnsi="宋体" w:eastAsia="仿宋_GB2312"/>
          <w:kern w:val="0"/>
          <w:sz w:val="32"/>
          <w:szCs w:val="32"/>
        </w:rPr>
        <w:t>4.</w:t>
      </w:r>
      <w:r>
        <w:rPr>
          <w:rFonts w:hint="eastAsia" w:ascii="仿宋_GB2312" w:hAnsi="宋体" w:eastAsia="仿宋_GB2312"/>
          <w:kern w:val="0"/>
          <w:sz w:val="32"/>
          <w:szCs w:val="32"/>
        </w:rPr>
        <w:t>资本性支出</w:t>
      </w:r>
      <w:r>
        <w:rPr>
          <w:rFonts w:ascii="仿宋_GB2312" w:hAnsi="宋体" w:eastAsia="仿宋_GB2312"/>
          <w:kern w:val="0"/>
          <w:sz w:val="32"/>
          <w:szCs w:val="32"/>
        </w:rPr>
        <w:t>174,750,021.30</w:t>
      </w:r>
      <w:r>
        <w:rPr>
          <w:rFonts w:hint="eastAsia" w:ascii="仿宋_GB2312" w:hAnsi="宋体" w:eastAsia="仿宋_GB2312"/>
          <w:kern w:val="0"/>
          <w:sz w:val="32"/>
          <w:szCs w:val="32"/>
        </w:rPr>
        <w:t>元，较上年决算数增加35530397.69元，增加15.52</w:t>
      </w:r>
      <w:r>
        <w:rPr>
          <w:rFonts w:ascii="仿宋_GB2312" w:hAnsi="宋体" w:eastAsia="仿宋_GB2312"/>
          <w:kern w:val="0"/>
          <w:sz w:val="32"/>
          <w:szCs w:val="32"/>
        </w:rPr>
        <w:t>%</w:t>
      </w:r>
      <w:r>
        <w:rPr>
          <w:rFonts w:hint="eastAsia" w:ascii="仿宋_GB2312" w:hAnsi="宋体" w:eastAsia="仿宋_GB2312"/>
          <w:kern w:val="0"/>
          <w:sz w:val="32"/>
          <w:szCs w:val="32"/>
        </w:rPr>
        <w:t>，主要原因是减少办公设备购置；</w:t>
      </w:r>
    </w:p>
    <w:p>
      <w:pPr>
        <w:spacing w:line="56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七、一般公共预算财政拨款“三公”经费支出决算情况说明</w:t>
      </w:r>
    </w:p>
    <w:p>
      <w:pPr>
        <w:spacing w:line="560" w:lineRule="exact"/>
        <w:ind w:firstLine="643" w:firstLineChars="200"/>
        <w:outlineLvl w:val="1"/>
        <w:rPr>
          <w:rFonts w:ascii="楷体_GB2312" w:eastAsia="楷体_GB2312"/>
          <w:b/>
          <w:kern w:val="0"/>
          <w:sz w:val="32"/>
          <w:szCs w:val="32"/>
        </w:rPr>
      </w:pPr>
      <w:r>
        <w:rPr>
          <w:rFonts w:hint="eastAsia" w:ascii="楷体_GB2312" w:eastAsia="楷体_GB2312"/>
          <w:b/>
          <w:kern w:val="0"/>
          <w:sz w:val="32"/>
          <w:szCs w:val="32"/>
        </w:rPr>
        <w:t>（一）“三公”经费一般公共预算财政拨款支出决算总体情况说明</w:t>
      </w:r>
    </w:p>
    <w:p>
      <w:pPr>
        <w:autoSpaceDE w:val="0"/>
        <w:autoSpaceDN w:val="0"/>
        <w:adjustRightInd w:val="0"/>
        <w:spacing w:line="560" w:lineRule="exact"/>
        <w:ind w:firstLine="640" w:firstLineChars="200"/>
        <w:rPr>
          <w:rFonts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2022年度“三公”经费一般公共预算财政拨款支出年初预算为</w:t>
      </w:r>
      <w:r>
        <w:rPr>
          <w:rFonts w:ascii="仿宋_GB2312" w:hAnsi="仿宋_GB2312" w:eastAsia="仿宋_GB2312" w:cs="仿宋_GB2312"/>
          <w:kern w:val="0"/>
          <w:sz w:val="32"/>
          <w:szCs w:val="32"/>
        </w:rPr>
        <w:t>120,000.00</w:t>
      </w:r>
      <w:r>
        <w:rPr>
          <w:rFonts w:hint="eastAsia" w:ascii="仿宋_GB2312" w:hAnsi="仿宋_GB2312" w:eastAsia="仿宋_GB2312" w:cs="仿宋_GB2312"/>
          <w:kern w:val="0"/>
          <w:sz w:val="32"/>
          <w:szCs w:val="32"/>
        </w:rPr>
        <w:t>元，支出决算为</w:t>
      </w:r>
      <w:r>
        <w:rPr>
          <w:rFonts w:ascii="仿宋_GB2312" w:hAnsi="仿宋_GB2312" w:eastAsia="仿宋_GB2312" w:cs="仿宋_GB2312"/>
          <w:kern w:val="0"/>
          <w:sz w:val="32"/>
          <w:szCs w:val="32"/>
        </w:rPr>
        <w:t>120,000.00</w:t>
      </w:r>
      <w:r>
        <w:rPr>
          <w:rFonts w:hint="eastAsia" w:ascii="仿宋_GB2312" w:hAnsi="仿宋_GB2312" w:eastAsia="仿宋_GB2312" w:cs="仿宋_GB2312"/>
          <w:kern w:val="0"/>
          <w:sz w:val="32"/>
          <w:szCs w:val="32"/>
        </w:rPr>
        <w:t>元，完成年初预算的 100 %。</w:t>
      </w:r>
    </w:p>
    <w:p>
      <w:pPr>
        <w:spacing w:line="560" w:lineRule="exact"/>
        <w:ind w:firstLine="643" w:firstLineChars="200"/>
        <w:outlineLvl w:val="1"/>
        <w:rPr>
          <w:rFonts w:ascii="楷体_GB2312" w:eastAsia="楷体_GB2312"/>
          <w:b/>
          <w:kern w:val="0"/>
          <w:sz w:val="32"/>
          <w:szCs w:val="32"/>
        </w:rPr>
      </w:pPr>
      <w:r>
        <w:rPr>
          <w:rFonts w:hint="eastAsia" w:ascii="楷体_GB2312" w:eastAsia="楷体_GB2312"/>
          <w:b/>
          <w:kern w:val="0"/>
          <w:sz w:val="32"/>
          <w:szCs w:val="32"/>
        </w:rPr>
        <w:t>（二）“三公”经费一般公共预算财政拨款支出决算具体情况说明。</w:t>
      </w:r>
    </w:p>
    <w:p>
      <w:pPr>
        <w:pStyle w:val="17"/>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2022年度“三公”经费一般公共预算财政拨款支出决算中，因公出国（境）费支出占</w:t>
      </w:r>
      <w:r>
        <w:rPr>
          <w:rFonts w:hint="eastAsia" w:ascii="仿宋_GB2312" w:hAnsi="仿宋_GB2312" w:eastAsia="仿宋_GB2312" w:cs="仿宋_GB2312"/>
          <w:sz w:val="32"/>
          <w:szCs w:val="32"/>
        </w:rPr>
        <w:t xml:space="preserve"> 0 </w:t>
      </w:r>
      <w:r>
        <w:rPr>
          <w:rFonts w:hint="eastAsia" w:ascii="仿宋_GB2312" w:hAnsi="仿宋_GB2312" w:eastAsia="仿宋_GB2312" w:cs="仿宋_GB2312"/>
          <w:color w:val="auto"/>
          <w:sz w:val="32"/>
          <w:szCs w:val="32"/>
        </w:rPr>
        <w:t>%；公务用车购置及运行费支出占</w:t>
      </w:r>
      <w:r>
        <w:rPr>
          <w:rFonts w:hint="eastAsia" w:ascii="仿宋_GB2312" w:hAnsi="仿宋_GB2312" w:eastAsia="仿宋_GB2312" w:cs="仿宋_GB2312"/>
          <w:sz w:val="32"/>
          <w:szCs w:val="32"/>
        </w:rPr>
        <w:t xml:space="preserve"> 100 </w:t>
      </w:r>
      <w:r>
        <w:rPr>
          <w:rFonts w:hint="eastAsia" w:ascii="仿宋_GB2312" w:hAnsi="仿宋_GB2312" w:eastAsia="仿宋_GB2312" w:cs="仿宋_GB2312"/>
          <w:color w:val="auto"/>
          <w:sz w:val="32"/>
          <w:szCs w:val="32"/>
        </w:rPr>
        <w:t>%；公务接待费支出占</w:t>
      </w:r>
      <w:r>
        <w:rPr>
          <w:rFonts w:hint="eastAsia" w:ascii="仿宋_GB2312" w:hAnsi="仿宋_GB2312" w:eastAsia="仿宋_GB2312" w:cs="仿宋_GB2312"/>
          <w:sz w:val="32"/>
          <w:szCs w:val="32"/>
        </w:rPr>
        <w:t xml:space="preserve">0 </w:t>
      </w:r>
      <w:r>
        <w:rPr>
          <w:rFonts w:hint="eastAsia" w:ascii="仿宋_GB2312" w:hAnsi="仿宋_GB2312" w:eastAsia="仿宋_GB2312" w:cs="仿宋_GB2312"/>
          <w:color w:val="auto"/>
          <w:sz w:val="32"/>
          <w:szCs w:val="32"/>
        </w:rPr>
        <w:t>%。具体情况如下：</w:t>
      </w:r>
    </w:p>
    <w:p>
      <w:pPr>
        <w:pStyle w:val="17"/>
        <w:spacing w:line="560" w:lineRule="exact"/>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Cs/>
          <w:color w:val="auto"/>
          <w:sz w:val="32"/>
          <w:szCs w:val="32"/>
        </w:rPr>
        <w:t>年初预算为</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0元，支出决算为 0 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完成年初预算的0%；比上年减少0元，下降0 %。</w:t>
      </w:r>
    </w:p>
    <w:p>
      <w:pPr>
        <w:pStyle w:val="17"/>
        <w:spacing w:line="560" w:lineRule="exact"/>
        <w:ind w:firstLine="630" w:firstLineChars="196"/>
        <w:rPr>
          <w:rFonts w:ascii="仿宋_GB2312" w:hAnsi="仿宋_GB2312" w:eastAsia="仿宋_GB2312" w:cs="仿宋_GB2312"/>
          <w:b/>
          <w:sz w:val="32"/>
          <w:szCs w:val="32"/>
        </w:rPr>
      </w:pPr>
      <w:r>
        <w:rPr>
          <w:rFonts w:eastAsia="仿宋_GB2312"/>
          <w:b/>
          <w:sz w:val="32"/>
          <w:szCs w:val="32"/>
        </w:rPr>
        <w:t>2.公务用车购置及运行维护费。</w:t>
      </w:r>
    </w:p>
    <w:p>
      <w:pPr>
        <w:pStyle w:val="17"/>
        <w:spacing w:line="560" w:lineRule="exact"/>
        <w:ind w:firstLine="627" w:firstLineChars="196"/>
        <w:rPr>
          <w:rFonts w:ascii="Times New Roman" w:hAnsi="Times New Roman" w:eastAsia="仿宋_GB2312" w:cs="Times New Roman"/>
          <w:color w:val="auto"/>
          <w:sz w:val="32"/>
          <w:szCs w:val="32"/>
        </w:rPr>
      </w:pPr>
      <w:r>
        <w:rPr>
          <w:rFonts w:hint="eastAsia" w:ascii="仿宋_GB2312" w:hAnsi="仿宋_GB2312" w:eastAsia="仿宋_GB2312" w:cs="仿宋_GB2312"/>
          <w:bCs/>
          <w:sz w:val="32"/>
          <w:szCs w:val="32"/>
        </w:rPr>
        <w:t xml:space="preserve">年初预算为  </w:t>
      </w:r>
      <w:r>
        <w:rPr>
          <w:rFonts w:ascii="仿宋_GB2312" w:hAnsi="仿宋_GB2312" w:eastAsia="仿宋_GB2312" w:cs="仿宋_GB2312"/>
          <w:bCs/>
          <w:sz w:val="32"/>
          <w:szCs w:val="32"/>
        </w:rPr>
        <w:t>120,000.00</w:t>
      </w:r>
      <w:r>
        <w:rPr>
          <w:rFonts w:hint="eastAsia" w:ascii="仿宋_GB2312" w:hAnsi="仿宋_GB2312" w:eastAsia="仿宋_GB2312" w:cs="仿宋_GB2312"/>
          <w:sz w:val="32"/>
          <w:szCs w:val="32"/>
        </w:rPr>
        <w:t>元，支出决算为</w:t>
      </w:r>
      <w:r>
        <w:rPr>
          <w:rFonts w:ascii="仿宋_GB2312" w:hAnsi="仿宋_GB2312" w:eastAsia="仿宋_GB2312" w:cs="仿宋_GB2312"/>
          <w:sz w:val="32"/>
          <w:szCs w:val="32"/>
        </w:rPr>
        <w:t>120,000.00</w:t>
      </w:r>
      <w:r>
        <w:rPr>
          <w:rFonts w:hint="eastAsia" w:ascii="仿宋_GB2312" w:hAnsi="仿宋_GB2312" w:eastAsia="仿宋_GB2312" w:cs="仿宋_GB2312"/>
          <w:sz w:val="32"/>
          <w:szCs w:val="32"/>
        </w:rPr>
        <w:t>元，完成年初预算的 100 %；其中：公务用车运行维护费支出 120000 元，主要用于主要用于车辆加油、维修及车辆保险等。公务用车保有量为 4 辆。</w:t>
      </w:r>
      <w:r>
        <w:rPr>
          <w:rFonts w:hint="eastAsia" w:ascii="仿宋_GB2312" w:hAnsi="仿宋" w:eastAsia="仿宋_GB2312"/>
          <w:sz w:val="32"/>
          <w:szCs w:val="32"/>
        </w:rPr>
        <w:t>。</w:t>
      </w:r>
    </w:p>
    <w:p>
      <w:pPr>
        <w:autoSpaceDE w:val="0"/>
        <w:autoSpaceDN w:val="0"/>
        <w:adjustRightInd w:val="0"/>
        <w:spacing w:line="560" w:lineRule="exact"/>
        <w:ind w:firstLine="630" w:firstLineChars="196"/>
        <w:jc w:val="left"/>
        <w:rPr>
          <w:rFonts w:ascii="仿宋_GB2312" w:hAnsi="仿宋_GB2312" w:eastAsia="仿宋_GB2312" w:cs="仿宋_GB2312"/>
          <w:kern w:val="0"/>
          <w:sz w:val="32"/>
          <w:szCs w:val="32"/>
        </w:rPr>
      </w:pPr>
      <w:r>
        <w:rPr>
          <w:rFonts w:eastAsia="仿宋_GB2312"/>
          <w:b/>
          <w:kern w:val="0"/>
          <w:sz w:val="32"/>
          <w:szCs w:val="32"/>
        </w:rPr>
        <w:t>3.公务接待费。</w:t>
      </w:r>
      <w:r>
        <w:rPr>
          <w:rFonts w:hint="eastAsia" w:ascii="仿宋_GB2312" w:hAnsi="仿宋_GB2312" w:eastAsia="仿宋_GB2312" w:cs="仿宋_GB2312"/>
          <w:bCs/>
          <w:sz w:val="32"/>
          <w:szCs w:val="32"/>
        </w:rPr>
        <w:t>年初预算为</w:t>
      </w:r>
      <w:r>
        <w:rPr>
          <w:rFonts w:hint="eastAsia" w:ascii="仿宋_GB2312" w:hAnsi="仿宋_GB2312" w:eastAsia="仿宋_GB2312" w:cs="仿宋_GB2312"/>
          <w:bCs/>
          <w:kern w:val="0"/>
          <w:sz w:val="32"/>
          <w:szCs w:val="32"/>
        </w:rPr>
        <w:t>0</w:t>
      </w:r>
      <w:r>
        <w:rPr>
          <w:rFonts w:hint="eastAsia" w:ascii="仿宋_GB2312" w:hAnsi="仿宋_GB2312" w:eastAsia="仿宋_GB2312" w:cs="仿宋_GB2312"/>
          <w:kern w:val="0"/>
          <w:sz w:val="32"/>
          <w:szCs w:val="32"/>
        </w:rPr>
        <w:t>元，支出决算为0元，完成年初预算的0 %；比上年减少 0元，下降0 %。</w:t>
      </w:r>
    </w:p>
    <w:p>
      <w:pPr>
        <w:autoSpaceDE w:val="0"/>
        <w:autoSpaceDN w:val="0"/>
        <w:adjustRightInd w:val="0"/>
        <w:spacing w:line="560" w:lineRule="exact"/>
        <w:ind w:firstLine="627" w:firstLineChars="196"/>
        <w:jc w:val="left"/>
        <w:rPr>
          <w:rFonts w:ascii="黑体" w:hAnsi="黑体" w:eastAsia="黑体"/>
          <w:kern w:val="0"/>
          <w:sz w:val="32"/>
          <w:szCs w:val="32"/>
        </w:rPr>
      </w:pPr>
      <w:r>
        <w:rPr>
          <w:rFonts w:hint="eastAsia" w:ascii="黑体" w:hAnsi="黑体" w:eastAsia="黑体"/>
          <w:kern w:val="0"/>
          <w:sz w:val="32"/>
          <w:szCs w:val="32"/>
        </w:rPr>
        <w:t>八、政府性基金预算财政拨款收入支出决算情况说明</w:t>
      </w:r>
    </w:p>
    <w:p>
      <w:pPr>
        <w:pStyle w:val="17"/>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2022年</w:t>
      </w:r>
      <w:r>
        <w:rPr>
          <w:rFonts w:ascii="Times New Roman" w:hAnsi="Times New Roman" w:eastAsia="仿宋_GB2312" w:cs="Times New Roman"/>
          <w:color w:val="auto"/>
          <w:sz w:val="32"/>
          <w:szCs w:val="32"/>
        </w:rPr>
        <w:t>度政府性基金预算财政拨款年初结转和结余元，本年收入</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元，本年支出</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元，年末结转和结余</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元</w:t>
      </w:r>
      <w:r>
        <w:rPr>
          <w:rFonts w:hint="eastAsia" w:ascii="Times New Roman" w:hAnsi="Times New Roman" w:eastAsia="仿宋_GB2312" w:cs="Times New Roman"/>
          <w:color w:val="auto"/>
          <w:sz w:val="32"/>
          <w:szCs w:val="32"/>
        </w:rPr>
        <w:t>。</w:t>
      </w:r>
    </w:p>
    <w:p>
      <w:pPr>
        <w:spacing w:line="560" w:lineRule="exact"/>
        <w:ind w:firstLine="640" w:firstLineChars="200"/>
        <w:outlineLvl w:val="1"/>
        <w:rPr>
          <w:rFonts w:ascii="黑体" w:hAnsi="黑体" w:eastAsia="黑体" w:cs="黑体"/>
          <w:kern w:val="0"/>
          <w:sz w:val="32"/>
          <w:szCs w:val="32"/>
        </w:rPr>
      </w:pPr>
      <w:r>
        <w:rPr>
          <w:rFonts w:hint="eastAsia" w:ascii="黑体" w:hAnsi="黑体" w:eastAsia="黑体" w:cs="黑体"/>
          <w:kern w:val="0"/>
          <w:sz w:val="32"/>
          <w:szCs w:val="32"/>
        </w:rPr>
        <w:t>九、其他重要事项的情况说明</w:t>
      </w:r>
    </w:p>
    <w:p>
      <w:pPr>
        <w:spacing w:line="560" w:lineRule="exact"/>
        <w:ind w:firstLine="643" w:firstLineChars="200"/>
        <w:outlineLvl w:val="1"/>
        <w:rPr>
          <w:rFonts w:ascii="楷体_GB2312" w:eastAsia="楷体_GB2312"/>
          <w:b/>
          <w:kern w:val="0"/>
          <w:sz w:val="32"/>
          <w:szCs w:val="32"/>
        </w:rPr>
      </w:pPr>
      <w:r>
        <w:rPr>
          <w:rFonts w:hint="eastAsia" w:ascii="楷体_GB2312" w:eastAsia="楷体_GB2312"/>
          <w:b/>
          <w:kern w:val="0"/>
          <w:sz w:val="32"/>
          <w:szCs w:val="32"/>
        </w:rPr>
        <w:t>（一）机关运行经费支出情况说明</w:t>
      </w:r>
    </w:p>
    <w:p>
      <w:pPr>
        <w:spacing w:line="560" w:lineRule="exact"/>
        <w:ind w:firstLine="640" w:firstLineChars="200"/>
        <w:outlineLvl w:val="1"/>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年度本部门机关运行经费年初预算为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071</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000.00</w:t>
      </w:r>
      <w:r>
        <w:rPr>
          <w:rFonts w:hint="eastAsia" w:ascii="仿宋_GB2312" w:hAnsi="仿宋_GB2312" w:eastAsia="仿宋_GB2312" w:cs="仿宋_GB2312"/>
          <w:color w:val="000000" w:themeColor="text1"/>
          <w:kern w:val="0"/>
          <w:sz w:val="32"/>
          <w:szCs w:val="32"/>
          <w14:textFill>
            <w14:solidFill>
              <w14:schemeClr w14:val="tx1"/>
            </w14:solidFill>
          </w14:textFill>
        </w:rPr>
        <w:t>元，支出决算为1,044,025.08元，完成年初预算的80%；</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减少</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26974.92</w:t>
      </w:r>
      <w:r>
        <w:rPr>
          <w:rFonts w:hint="eastAsia" w:ascii="仿宋_GB2312" w:hAnsi="仿宋_GB2312" w:eastAsia="仿宋_GB2312" w:cs="仿宋_GB2312"/>
          <w:color w:val="000000" w:themeColor="text1"/>
          <w:kern w:val="0"/>
          <w:sz w:val="32"/>
          <w:szCs w:val="32"/>
          <w14:textFill>
            <w14:solidFill>
              <w14:schemeClr w14:val="tx1"/>
            </w14:solidFill>
          </w14:textFill>
        </w:rPr>
        <w:t>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下降</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%。决算数小于预算数的主要原因单位本年度压缩经费，减少支出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spacing w:line="560" w:lineRule="exact"/>
        <w:ind w:firstLine="643" w:firstLineChars="200"/>
        <w:outlineLvl w:val="1"/>
        <w:rPr>
          <w:rFonts w:ascii="楷体_GB2312" w:eastAsia="楷体_GB2312"/>
          <w:b/>
          <w:kern w:val="0"/>
          <w:sz w:val="32"/>
          <w:szCs w:val="32"/>
        </w:rPr>
      </w:pPr>
      <w:r>
        <w:rPr>
          <w:rFonts w:hint="eastAsia" w:ascii="楷体_GB2312" w:eastAsia="楷体_GB2312"/>
          <w:b/>
          <w:kern w:val="0"/>
          <w:sz w:val="32"/>
          <w:szCs w:val="32"/>
        </w:rPr>
        <w:t>（二）政府采购情况说明</w:t>
      </w:r>
    </w:p>
    <w:p>
      <w:pPr>
        <w:widowControl/>
        <w:spacing w:line="560" w:lineRule="exact"/>
        <w:ind w:firstLine="640" w:firstLineChars="200"/>
        <w:jc w:val="left"/>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kern w:val="0"/>
          <w:sz w:val="32"/>
          <w:szCs w:val="32"/>
          <w:highlight w:val="none"/>
        </w:rPr>
        <w:t>2022年度本部门政府采购预算</w:t>
      </w:r>
      <w:r>
        <w:rPr>
          <w:rFonts w:hint="eastAsia" w:ascii="仿宋_GB2312" w:hAnsi="仿宋_GB2312" w:eastAsia="仿宋_GB2312" w:cs="仿宋_GB2312"/>
          <w:kern w:val="0"/>
          <w:sz w:val="32"/>
          <w:szCs w:val="32"/>
          <w:highlight w:val="none"/>
          <w:lang w:val="en-US" w:eastAsia="zh-CN"/>
        </w:rPr>
        <w:t>14800</w:t>
      </w:r>
      <w:r>
        <w:rPr>
          <w:rFonts w:hint="eastAsia" w:ascii="仿宋_GB2312" w:hAnsi="仿宋_GB2312" w:eastAsia="仿宋_GB2312" w:cs="仿宋_GB2312"/>
          <w:kern w:val="0"/>
          <w:sz w:val="32"/>
          <w:szCs w:val="32"/>
          <w:highlight w:val="none"/>
        </w:rPr>
        <w:t>元，支出决算总额</w:t>
      </w:r>
      <w:r>
        <w:rPr>
          <w:rFonts w:hint="eastAsia" w:ascii="仿宋_GB2312" w:hAnsi="仿宋_GB2312" w:eastAsia="仿宋_GB2312" w:cs="仿宋_GB2312"/>
          <w:kern w:val="0"/>
          <w:sz w:val="32"/>
          <w:szCs w:val="32"/>
          <w:highlight w:val="none"/>
          <w:lang w:val="en-US" w:eastAsia="zh-CN"/>
        </w:rPr>
        <w:t>14800</w:t>
      </w:r>
      <w:r>
        <w:rPr>
          <w:rFonts w:hint="eastAsia" w:ascii="仿宋_GB2312" w:hAnsi="仿宋_GB2312" w:eastAsia="仿宋_GB2312" w:cs="仿宋_GB2312"/>
          <w:kern w:val="0"/>
          <w:sz w:val="32"/>
          <w:szCs w:val="32"/>
          <w:highlight w:val="none"/>
        </w:rPr>
        <w:t>元。</w:t>
      </w:r>
      <w:r>
        <w:rPr>
          <w:rFonts w:hint="eastAsia" w:eastAsia="仿宋_GB2312"/>
          <w:color w:val="000000" w:themeColor="text1"/>
          <w:kern w:val="0"/>
          <w:sz w:val="32"/>
          <w:szCs w:val="32"/>
          <w:highlight w:val="none"/>
          <w14:textFill>
            <w14:solidFill>
              <w14:schemeClr w14:val="tx1"/>
            </w14:solidFill>
          </w14:textFill>
        </w:rPr>
        <w:t>我单位2022年</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采购办公设备、办公用品、办公耗材等</w:t>
      </w:r>
    </w:p>
    <w:p>
      <w:pPr>
        <w:spacing w:line="560" w:lineRule="exact"/>
        <w:ind w:firstLine="643" w:firstLineChars="200"/>
        <w:outlineLvl w:val="1"/>
        <w:rPr>
          <w:rFonts w:ascii="楷体_GB2312" w:eastAsia="楷体_GB2312"/>
          <w:b/>
          <w:kern w:val="0"/>
          <w:sz w:val="32"/>
          <w:szCs w:val="32"/>
        </w:rPr>
      </w:pPr>
      <w:r>
        <w:rPr>
          <w:rFonts w:hint="eastAsia" w:ascii="楷体_GB2312" w:eastAsia="楷体_GB2312"/>
          <w:b/>
          <w:kern w:val="0"/>
          <w:sz w:val="32"/>
          <w:szCs w:val="32"/>
        </w:rPr>
        <w:t>（三）国有资产占有使用情况说明</w:t>
      </w:r>
    </w:p>
    <w:p>
      <w:pPr>
        <w:spacing w:line="560" w:lineRule="exact"/>
        <w:ind w:firstLine="640" w:firstLineChars="200"/>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截至2022年12月31日，我单位房屋面积4000平方米，共有车辆4辆，其中：2辆其他、2辆执法执勤用车。</w:t>
      </w:r>
    </w:p>
    <w:p>
      <w:pPr>
        <w:spacing w:line="560" w:lineRule="exact"/>
        <w:ind w:firstLine="643" w:firstLineChars="200"/>
        <w:outlineLvl w:val="1"/>
        <w:rPr>
          <w:rFonts w:ascii="楷体_GB2312" w:eastAsia="楷体_GB2312"/>
          <w:b/>
          <w:kern w:val="0"/>
          <w:sz w:val="32"/>
          <w:szCs w:val="32"/>
        </w:rPr>
      </w:pPr>
      <w:r>
        <w:rPr>
          <w:rFonts w:hint="eastAsia" w:ascii="楷体_GB2312" w:eastAsia="楷体_GB2312"/>
          <w:b/>
          <w:kern w:val="0"/>
          <w:sz w:val="32"/>
          <w:szCs w:val="32"/>
        </w:rPr>
        <w:t>（四）预算绩效管理工作开展情况说明</w:t>
      </w:r>
    </w:p>
    <w:p>
      <w:pPr>
        <w:spacing w:line="560" w:lineRule="exact"/>
        <w:ind w:firstLine="643" w:firstLineChars="200"/>
        <w:outlineLvl w:val="1"/>
        <w:rPr>
          <w:rFonts w:hint="eastAsia" w:eastAsia="仿宋_GB2312"/>
          <w:kern w:val="0"/>
          <w:sz w:val="32"/>
          <w:szCs w:val="32"/>
          <w:lang w:eastAsia="zh-CN"/>
        </w:rPr>
      </w:pPr>
      <w:r>
        <w:rPr>
          <w:rFonts w:eastAsia="仿宋_GB2312"/>
          <w:b/>
          <w:kern w:val="0"/>
          <w:sz w:val="32"/>
          <w:szCs w:val="32"/>
        </w:rPr>
        <w:t>1.预算绩效管理工作开展情况。</w:t>
      </w:r>
      <w:r>
        <w:rPr>
          <w:rFonts w:eastAsia="仿宋_GB2312"/>
          <w:kern w:val="0"/>
          <w:sz w:val="32"/>
          <w:szCs w:val="32"/>
        </w:rPr>
        <w:t>根据预算绩效管理要求，本部门组织对</w:t>
      </w:r>
      <w:r>
        <w:rPr>
          <w:rFonts w:hint="eastAsia" w:eastAsia="仿宋_GB2312"/>
          <w:kern w:val="0"/>
          <w:sz w:val="32"/>
          <w:szCs w:val="32"/>
        </w:rPr>
        <w:t>2022年</w:t>
      </w:r>
      <w:r>
        <w:rPr>
          <w:rFonts w:eastAsia="仿宋_GB2312"/>
          <w:kern w:val="0"/>
          <w:sz w:val="32"/>
          <w:szCs w:val="32"/>
        </w:rPr>
        <w:t>度一般公共预算项目支出全面开展绩效自评。涉及项目</w:t>
      </w:r>
      <w:r>
        <w:rPr>
          <w:rFonts w:hint="eastAsia" w:eastAsia="仿宋_GB2312"/>
          <w:kern w:val="0"/>
          <w:sz w:val="32"/>
          <w:szCs w:val="32"/>
          <w:lang w:val="en-US" w:eastAsia="zh-CN"/>
        </w:rPr>
        <w:t>13</w:t>
      </w:r>
      <w:r>
        <w:rPr>
          <w:rFonts w:eastAsia="仿宋_GB2312"/>
          <w:kern w:val="0"/>
          <w:sz w:val="32"/>
          <w:szCs w:val="32"/>
        </w:rPr>
        <w:t>个，涉及资金</w:t>
      </w:r>
      <w:r>
        <w:rPr>
          <w:rFonts w:hint="eastAsia" w:eastAsia="仿宋_GB2312"/>
          <w:kern w:val="0"/>
          <w:sz w:val="32"/>
          <w:szCs w:val="32"/>
          <w:lang w:val="en-US" w:eastAsia="zh-CN"/>
        </w:rPr>
        <w:t>132451402</w:t>
      </w:r>
      <w:r>
        <w:rPr>
          <w:rFonts w:eastAsia="仿宋_GB2312"/>
          <w:kern w:val="0"/>
          <w:sz w:val="32"/>
          <w:szCs w:val="32"/>
        </w:rPr>
        <w:t>元，</w:t>
      </w:r>
      <w:r>
        <w:rPr>
          <w:rFonts w:hint="eastAsia" w:eastAsia="仿宋_GB2312"/>
          <w:kern w:val="0"/>
          <w:sz w:val="32"/>
          <w:szCs w:val="32"/>
        </w:rPr>
        <w:t>(1) 2022旧棚翻建项目资金1000000元，</w:t>
      </w:r>
      <w:r>
        <w:rPr>
          <w:rFonts w:eastAsia="仿宋_GB2312"/>
          <w:kern w:val="0"/>
          <w:sz w:val="32"/>
          <w:szCs w:val="32"/>
        </w:rPr>
        <w:t>占一般公共预算项目支出总额的</w:t>
      </w:r>
      <w:r>
        <w:rPr>
          <w:rFonts w:hint="eastAsia" w:eastAsia="仿宋_GB2312"/>
          <w:kern w:val="0"/>
          <w:sz w:val="32"/>
          <w:szCs w:val="32"/>
          <w:lang w:val="en-US" w:eastAsia="zh-CN"/>
        </w:rPr>
        <w:t>0.08</w:t>
      </w:r>
      <w:r>
        <w:rPr>
          <w:rFonts w:eastAsia="仿宋_GB2312"/>
          <w:kern w:val="0"/>
          <w:sz w:val="32"/>
          <w:szCs w:val="32"/>
        </w:rPr>
        <w:t>%</w:t>
      </w:r>
      <w:r>
        <w:rPr>
          <w:rFonts w:hint="eastAsia" w:eastAsia="仿宋_GB2312"/>
          <w:kern w:val="0"/>
          <w:sz w:val="32"/>
          <w:szCs w:val="32"/>
        </w:rPr>
        <w:t>；(2) 大气污染防治中央专项转移支付资金4864000.00元，</w:t>
      </w:r>
      <w:r>
        <w:rPr>
          <w:rFonts w:eastAsia="仿宋_GB2312"/>
          <w:kern w:val="0"/>
          <w:sz w:val="32"/>
          <w:szCs w:val="32"/>
        </w:rPr>
        <w:t>占一般公共预算项目支出总额的</w:t>
      </w:r>
      <w:r>
        <w:rPr>
          <w:rFonts w:hint="eastAsia" w:eastAsia="仿宋_GB2312"/>
          <w:kern w:val="0"/>
          <w:sz w:val="32"/>
          <w:szCs w:val="32"/>
          <w:lang w:val="en-US" w:eastAsia="zh-CN"/>
        </w:rPr>
        <w:t>3.6</w:t>
      </w:r>
      <w:r>
        <w:rPr>
          <w:rFonts w:eastAsia="仿宋_GB2312"/>
          <w:kern w:val="0"/>
          <w:sz w:val="32"/>
          <w:szCs w:val="32"/>
        </w:rPr>
        <w:t>%</w:t>
      </w:r>
      <w:r>
        <w:rPr>
          <w:rFonts w:hint="eastAsia" w:eastAsia="仿宋_GB2312"/>
          <w:kern w:val="0"/>
          <w:sz w:val="32"/>
          <w:szCs w:val="32"/>
        </w:rPr>
        <w:t>；(3) 2022年良田镇植物园村村企联动智能示范温棚建设项目经费资金1500000元，</w:t>
      </w:r>
      <w:r>
        <w:rPr>
          <w:rFonts w:eastAsia="仿宋_GB2312"/>
          <w:kern w:val="0"/>
          <w:sz w:val="32"/>
          <w:szCs w:val="32"/>
        </w:rPr>
        <w:t>占一般公共预算项目支出总额的</w:t>
      </w:r>
      <w:r>
        <w:rPr>
          <w:rFonts w:hint="eastAsia" w:eastAsia="仿宋_GB2312"/>
          <w:kern w:val="0"/>
          <w:sz w:val="32"/>
          <w:szCs w:val="32"/>
          <w:lang w:val="en-US" w:eastAsia="zh-CN"/>
        </w:rPr>
        <w:t>1.13</w:t>
      </w:r>
      <w:r>
        <w:rPr>
          <w:rFonts w:eastAsia="仿宋_GB2312"/>
          <w:kern w:val="0"/>
          <w:sz w:val="32"/>
          <w:szCs w:val="32"/>
        </w:rPr>
        <w:t>%</w:t>
      </w:r>
      <w:r>
        <w:rPr>
          <w:rFonts w:hint="eastAsia" w:eastAsia="仿宋_GB2312"/>
          <w:kern w:val="0"/>
          <w:sz w:val="32"/>
          <w:szCs w:val="32"/>
        </w:rPr>
        <w:t>；(4) 为民服务发展专项1932311.64元，</w:t>
      </w:r>
      <w:r>
        <w:rPr>
          <w:rFonts w:eastAsia="仿宋_GB2312"/>
          <w:kern w:val="0"/>
          <w:sz w:val="32"/>
          <w:szCs w:val="32"/>
        </w:rPr>
        <w:t>占一般公共预算项目支出总额的</w:t>
      </w:r>
      <w:r>
        <w:rPr>
          <w:rFonts w:hint="eastAsia" w:eastAsia="仿宋_GB2312"/>
          <w:kern w:val="0"/>
          <w:sz w:val="32"/>
          <w:szCs w:val="32"/>
          <w:lang w:val="en-US" w:eastAsia="zh-CN"/>
        </w:rPr>
        <w:t>1.45</w:t>
      </w:r>
      <w:r>
        <w:rPr>
          <w:rFonts w:eastAsia="仿宋_GB2312"/>
          <w:kern w:val="0"/>
          <w:sz w:val="32"/>
          <w:szCs w:val="32"/>
        </w:rPr>
        <w:t>%</w:t>
      </w:r>
      <w:r>
        <w:rPr>
          <w:rFonts w:hint="eastAsia" w:eastAsia="仿宋_GB2312"/>
          <w:kern w:val="0"/>
          <w:sz w:val="32"/>
          <w:szCs w:val="32"/>
        </w:rPr>
        <w:t>；(5) 创建文明城市项目资金1000000元，</w:t>
      </w:r>
      <w:r>
        <w:rPr>
          <w:rFonts w:eastAsia="仿宋_GB2312"/>
          <w:kern w:val="0"/>
          <w:sz w:val="32"/>
          <w:szCs w:val="32"/>
        </w:rPr>
        <w:t>占一般公共预算项目支出总额的</w:t>
      </w:r>
      <w:r>
        <w:rPr>
          <w:rFonts w:hint="eastAsia" w:eastAsia="仿宋_GB2312"/>
          <w:kern w:val="0"/>
          <w:sz w:val="32"/>
          <w:szCs w:val="32"/>
          <w:lang w:val="en-US" w:eastAsia="zh-CN"/>
        </w:rPr>
        <w:t>0.08</w:t>
      </w:r>
      <w:r>
        <w:rPr>
          <w:rFonts w:eastAsia="仿宋_GB2312"/>
          <w:kern w:val="0"/>
          <w:sz w:val="32"/>
          <w:szCs w:val="32"/>
        </w:rPr>
        <w:t>%</w:t>
      </w:r>
      <w:r>
        <w:rPr>
          <w:rFonts w:hint="eastAsia" w:eastAsia="仿宋_GB2312"/>
          <w:kern w:val="0"/>
          <w:sz w:val="32"/>
          <w:szCs w:val="32"/>
        </w:rPr>
        <w:t>；(6) 良田镇2020年扶贫壮大村集体经济项目资金</w:t>
      </w:r>
      <w:r>
        <w:rPr>
          <w:rFonts w:hint="eastAsia" w:eastAsia="仿宋_GB2312"/>
          <w:kern w:val="0"/>
          <w:sz w:val="32"/>
          <w:szCs w:val="32"/>
          <w:lang w:val="en-US" w:eastAsia="zh-CN"/>
        </w:rPr>
        <w:t>4000000</w:t>
      </w:r>
      <w:r>
        <w:rPr>
          <w:rFonts w:hint="eastAsia" w:eastAsia="仿宋_GB2312"/>
          <w:kern w:val="0"/>
          <w:sz w:val="32"/>
          <w:szCs w:val="32"/>
        </w:rPr>
        <w:t>元，</w:t>
      </w:r>
      <w:r>
        <w:rPr>
          <w:rFonts w:eastAsia="仿宋_GB2312"/>
          <w:kern w:val="0"/>
          <w:sz w:val="32"/>
          <w:szCs w:val="32"/>
        </w:rPr>
        <w:t>占一般公共预算项目支出总额的</w:t>
      </w:r>
      <w:r>
        <w:rPr>
          <w:rFonts w:hint="eastAsia" w:eastAsia="仿宋_GB2312"/>
          <w:kern w:val="0"/>
          <w:sz w:val="32"/>
          <w:szCs w:val="32"/>
          <w:lang w:val="en-US" w:eastAsia="zh-CN"/>
        </w:rPr>
        <w:t>3</w:t>
      </w:r>
      <w:r>
        <w:rPr>
          <w:rFonts w:eastAsia="仿宋_GB2312"/>
          <w:kern w:val="0"/>
          <w:sz w:val="32"/>
          <w:szCs w:val="32"/>
        </w:rPr>
        <w:t>%</w:t>
      </w:r>
      <w:r>
        <w:rPr>
          <w:rFonts w:hint="eastAsia" w:eastAsia="仿宋_GB2312"/>
          <w:kern w:val="0"/>
          <w:sz w:val="32"/>
          <w:szCs w:val="32"/>
        </w:rPr>
        <w:t>；（</w:t>
      </w:r>
      <w:r>
        <w:rPr>
          <w:rFonts w:hint="eastAsia" w:eastAsia="仿宋_GB2312"/>
          <w:kern w:val="0"/>
          <w:sz w:val="32"/>
          <w:szCs w:val="32"/>
          <w:lang w:val="en-US" w:eastAsia="zh-CN"/>
        </w:rPr>
        <w:t>7</w:t>
      </w:r>
      <w:r>
        <w:rPr>
          <w:rFonts w:hint="eastAsia" w:eastAsia="仿宋_GB2312"/>
          <w:kern w:val="0"/>
          <w:sz w:val="32"/>
          <w:szCs w:val="32"/>
        </w:rPr>
        <w:t>）光明村卫生室建设项目资金2</w:t>
      </w:r>
      <w:r>
        <w:rPr>
          <w:rFonts w:hint="eastAsia" w:eastAsia="仿宋_GB2312"/>
          <w:kern w:val="0"/>
          <w:sz w:val="32"/>
          <w:szCs w:val="32"/>
          <w:lang w:val="en-US" w:eastAsia="zh-CN"/>
        </w:rPr>
        <w:t>000000元，</w:t>
      </w:r>
      <w:r>
        <w:rPr>
          <w:rFonts w:eastAsia="仿宋_GB2312"/>
          <w:kern w:val="0"/>
          <w:sz w:val="32"/>
          <w:szCs w:val="32"/>
        </w:rPr>
        <w:t>占一般公共预算项目支出总额的</w:t>
      </w:r>
      <w:r>
        <w:rPr>
          <w:rFonts w:hint="eastAsia" w:eastAsia="仿宋_GB2312"/>
          <w:kern w:val="0"/>
          <w:sz w:val="32"/>
          <w:szCs w:val="32"/>
          <w:lang w:val="en-US" w:eastAsia="zh-CN"/>
        </w:rPr>
        <w:t>1.5</w:t>
      </w:r>
      <w:r>
        <w:rPr>
          <w:rFonts w:eastAsia="仿宋_GB2312"/>
          <w:kern w:val="0"/>
          <w:sz w:val="32"/>
          <w:szCs w:val="32"/>
        </w:rPr>
        <w:t>%</w:t>
      </w:r>
      <w:r>
        <w:rPr>
          <w:rFonts w:hint="eastAsia" w:eastAsia="仿宋_GB2312"/>
          <w:kern w:val="0"/>
          <w:sz w:val="32"/>
          <w:szCs w:val="32"/>
          <w:lang w:eastAsia="zh-CN"/>
        </w:rPr>
        <w:t>，（</w:t>
      </w:r>
      <w:r>
        <w:rPr>
          <w:rFonts w:hint="eastAsia" w:eastAsia="仿宋_GB2312"/>
          <w:kern w:val="0"/>
          <w:sz w:val="32"/>
          <w:szCs w:val="32"/>
          <w:lang w:val="en-US" w:eastAsia="zh-CN"/>
        </w:rPr>
        <w:t>8</w:t>
      </w:r>
      <w:r>
        <w:rPr>
          <w:rFonts w:hint="eastAsia" w:eastAsia="仿宋_GB2312"/>
          <w:kern w:val="0"/>
          <w:sz w:val="32"/>
          <w:szCs w:val="32"/>
          <w:lang w:eastAsia="zh-CN"/>
        </w:rPr>
        <w:t>）</w:t>
      </w:r>
      <w:r>
        <w:rPr>
          <w:rFonts w:hint="eastAsia" w:eastAsia="仿宋_GB2312"/>
          <w:kern w:val="0"/>
          <w:sz w:val="32"/>
          <w:szCs w:val="32"/>
        </w:rPr>
        <w:t>兴源村良田镇农贸市场文化大集建设项目</w:t>
      </w:r>
      <w:r>
        <w:rPr>
          <w:rFonts w:hint="eastAsia" w:eastAsia="仿宋_GB2312"/>
          <w:kern w:val="0"/>
          <w:sz w:val="32"/>
          <w:szCs w:val="32"/>
          <w:lang w:eastAsia="zh-CN"/>
        </w:rPr>
        <w:t>资金</w:t>
      </w:r>
      <w:r>
        <w:rPr>
          <w:rFonts w:hint="eastAsia" w:eastAsia="仿宋_GB2312"/>
          <w:kern w:val="0"/>
          <w:sz w:val="32"/>
          <w:szCs w:val="32"/>
          <w:lang w:val="en-US" w:eastAsia="zh-CN"/>
        </w:rPr>
        <w:t>1000000元，</w:t>
      </w:r>
      <w:r>
        <w:rPr>
          <w:rFonts w:eastAsia="仿宋_GB2312"/>
          <w:kern w:val="0"/>
          <w:sz w:val="32"/>
          <w:szCs w:val="32"/>
        </w:rPr>
        <w:t>占一般公共预算项目支出总额的</w:t>
      </w:r>
      <w:r>
        <w:rPr>
          <w:rFonts w:hint="eastAsia" w:eastAsia="仿宋_GB2312"/>
          <w:kern w:val="0"/>
          <w:sz w:val="32"/>
          <w:szCs w:val="32"/>
          <w:lang w:val="en-US" w:eastAsia="zh-CN"/>
        </w:rPr>
        <w:t>0.08</w:t>
      </w:r>
      <w:r>
        <w:rPr>
          <w:rFonts w:eastAsia="仿宋_GB2312"/>
          <w:kern w:val="0"/>
          <w:sz w:val="32"/>
          <w:szCs w:val="32"/>
        </w:rPr>
        <w:t>%</w:t>
      </w:r>
      <w:r>
        <w:rPr>
          <w:rFonts w:hint="eastAsia" w:eastAsia="仿宋_GB2312"/>
          <w:kern w:val="0"/>
          <w:sz w:val="32"/>
          <w:szCs w:val="32"/>
          <w:lang w:eastAsia="zh-CN"/>
        </w:rPr>
        <w:t>，</w:t>
      </w:r>
      <w:r>
        <w:rPr>
          <w:rFonts w:hint="eastAsia" w:eastAsia="仿宋_GB2312"/>
          <w:kern w:val="0"/>
          <w:sz w:val="32"/>
          <w:szCs w:val="32"/>
          <w:lang w:val="en-US" w:eastAsia="zh-CN"/>
        </w:rPr>
        <w:t>（9）脱贫攻坚乡村振兴项目资金</w:t>
      </w:r>
      <w:r>
        <w:rPr>
          <w:rFonts w:hint="eastAsia" w:eastAsia="仿宋_GB2312"/>
          <w:kern w:val="0"/>
          <w:sz w:val="32"/>
          <w:szCs w:val="32"/>
        </w:rPr>
        <w:t>29529344.28</w:t>
      </w:r>
      <w:r>
        <w:rPr>
          <w:rFonts w:hint="eastAsia" w:eastAsia="仿宋_GB2312"/>
          <w:kern w:val="0"/>
          <w:sz w:val="32"/>
          <w:szCs w:val="32"/>
          <w:lang w:eastAsia="zh-CN"/>
        </w:rPr>
        <w:t>元，</w:t>
      </w:r>
      <w:r>
        <w:rPr>
          <w:rFonts w:eastAsia="仿宋_GB2312"/>
          <w:kern w:val="0"/>
          <w:sz w:val="32"/>
          <w:szCs w:val="32"/>
        </w:rPr>
        <w:t>占一般公共预算项目支出总额的</w:t>
      </w:r>
      <w:r>
        <w:rPr>
          <w:rFonts w:hint="eastAsia" w:eastAsia="仿宋_GB2312"/>
          <w:kern w:val="0"/>
          <w:sz w:val="32"/>
          <w:szCs w:val="32"/>
          <w:lang w:val="en-US" w:eastAsia="zh-CN"/>
        </w:rPr>
        <w:t>22.29</w:t>
      </w:r>
      <w:r>
        <w:rPr>
          <w:rFonts w:eastAsia="仿宋_GB2312"/>
          <w:kern w:val="0"/>
          <w:sz w:val="32"/>
          <w:szCs w:val="32"/>
        </w:rPr>
        <w:t>%</w:t>
      </w:r>
      <w:r>
        <w:rPr>
          <w:rFonts w:hint="eastAsia" w:eastAsia="仿宋_GB2312"/>
          <w:kern w:val="0"/>
          <w:sz w:val="32"/>
          <w:szCs w:val="32"/>
          <w:lang w:eastAsia="zh-CN"/>
        </w:rPr>
        <w:t>，等其他项目。</w:t>
      </w:r>
    </w:p>
    <w:p>
      <w:pPr>
        <w:spacing w:line="560" w:lineRule="exact"/>
        <w:ind w:firstLine="880" w:firstLineChars="200"/>
        <w:outlineLvl w:val="1"/>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第四部分名词解释</w:t>
      </w:r>
    </w:p>
    <w:p>
      <w:pPr>
        <w:snapToGrid w:val="0"/>
        <w:spacing w:line="560" w:lineRule="exact"/>
        <w:rPr>
          <w:rFonts w:eastAsia="仿宋_GB2312"/>
          <w:kern w:val="0"/>
          <w:sz w:val="44"/>
          <w:szCs w:val="44"/>
        </w:rPr>
      </w:pPr>
    </w:p>
    <w:p>
      <w:pPr>
        <w:snapToGrid w:val="0"/>
        <w:spacing w:line="560" w:lineRule="exact"/>
        <w:ind w:firstLine="640" w:firstLineChars="200"/>
        <w:rPr>
          <w:rFonts w:eastAsia="仿宋_GB2312"/>
          <w:sz w:val="32"/>
          <w:szCs w:val="32"/>
        </w:rPr>
      </w:pPr>
      <w:r>
        <w:rPr>
          <w:rFonts w:eastAsia="仿宋_GB2312"/>
          <w:sz w:val="32"/>
          <w:szCs w:val="32"/>
        </w:rPr>
        <w:t>一、支出功能分类科目编码、名称：按照《202</w:t>
      </w:r>
      <w:r>
        <w:rPr>
          <w:rFonts w:hint="eastAsia" w:eastAsia="仿宋_GB2312"/>
          <w:sz w:val="32"/>
          <w:szCs w:val="32"/>
        </w:rPr>
        <w:t>2</w:t>
      </w:r>
      <w:r>
        <w:rPr>
          <w:rFonts w:eastAsia="仿宋_GB2312"/>
          <w:sz w:val="32"/>
          <w:szCs w:val="32"/>
        </w:rPr>
        <w:t>年政府收支分类科目》“类”、“款”、“项”的编码和名称填列</w:t>
      </w:r>
    </w:p>
    <w:p>
      <w:pPr>
        <w:snapToGrid w:val="0"/>
        <w:spacing w:line="560" w:lineRule="exact"/>
        <w:ind w:firstLine="640" w:firstLineChars="200"/>
        <w:rPr>
          <w:rFonts w:eastAsia="仿宋_GB2312"/>
          <w:sz w:val="32"/>
          <w:szCs w:val="32"/>
        </w:rPr>
      </w:pPr>
      <w:r>
        <w:rPr>
          <w:rFonts w:eastAsia="仿宋_GB2312"/>
          <w:sz w:val="32"/>
          <w:szCs w:val="32"/>
        </w:rPr>
        <w:t>二、年初结转和结余：是指单位上年结转本年使用的基本支出结转、项目支出结转和结余和经营结余。</w:t>
      </w:r>
    </w:p>
    <w:p>
      <w:pPr>
        <w:snapToGrid w:val="0"/>
        <w:spacing w:line="560" w:lineRule="exact"/>
        <w:ind w:firstLine="640" w:firstLineChars="200"/>
        <w:rPr>
          <w:rFonts w:eastAsia="仿宋_GB2312"/>
          <w:sz w:val="32"/>
          <w:szCs w:val="32"/>
        </w:rPr>
      </w:pPr>
      <w:r>
        <w:rPr>
          <w:rFonts w:eastAsia="仿宋_GB2312"/>
          <w:sz w:val="32"/>
          <w:szCs w:val="32"/>
        </w:rPr>
        <w:t>三、基本支出结转：是指单位基本支出收支相抵后结转本年使用的累计余额，包括事业单位未转入事业基金的基本支出结转。</w:t>
      </w:r>
    </w:p>
    <w:p>
      <w:pPr>
        <w:snapToGrid w:val="0"/>
        <w:spacing w:line="560" w:lineRule="exact"/>
        <w:ind w:firstLine="640" w:firstLineChars="200"/>
        <w:rPr>
          <w:rFonts w:eastAsia="仿宋_GB2312"/>
          <w:sz w:val="32"/>
          <w:szCs w:val="32"/>
        </w:rPr>
      </w:pPr>
      <w:r>
        <w:rPr>
          <w:rFonts w:eastAsia="仿宋_GB2312"/>
          <w:sz w:val="32"/>
          <w:szCs w:val="32"/>
        </w:rPr>
        <w:t>四、项目支出结转和结余：是指单位从财政部门或上级单位等取得，需要结转本年继续使用的项目支出收支累计余额。</w:t>
      </w:r>
    </w:p>
    <w:p>
      <w:pPr>
        <w:snapToGrid w:val="0"/>
        <w:spacing w:line="560" w:lineRule="exact"/>
        <w:ind w:firstLine="640" w:firstLineChars="200"/>
        <w:rPr>
          <w:rFonts w:eastAsia="仿宋_GB2312"/>
          <w:sz w:val="32"/>
          <w:szCs w:val="32"/>
        </w:rPr>
      </w:pPr>
      <w:r>
        <w:rPr>
          <w:rFonts w:eastAsia="仿宋_GB2312"/>
          <w:sz w:val="32"/>
          <w:szCs w:val="32"/>
        </w:rPr>
        <w:t>五、基本建设资金结转和结余：是指单位基本建设类资金中非偿还性资金结转本年使用的累计余额。</w:t>
      </w:r>
    </w:p>
    <w:p>
      <w:pPr>
        <w:snapToGrid w:val="0"/>
        <w:spacing w:line="560" w:lineRule="exact"/>
        <w:ind w:firstLine="640" w:firstLineChars="200"/>
        <w:rPr>
          <w:rFonts w:eastAsia="仿宋_GB2312"/>
          <w:sz w:val="32"/>
          <w:szCs w:val="32"/>
        </w:rPr>
      </w:pPr>
      <w:r>
        <w:rPr>
          <w:rFonts w:eastAsia="仿宋_GB2312"/>
          <w:sz w:val="32"/>
          <w:szCs w:val="32"/>
        </w:rPr>
        <w:t>六、本年收入：是指单位本年度取得的全部收入。</w:t>
      </w:r>
    </w:p>
    <w:p>
      <w:pPr>
        <w:snapToGrid w:val="0"/>
        <w:spacing w:line="560" w:lineRule="exact"/>
        <w:ind w:firstLine="640" w:firstLineChars="200"/>
        <w:rPr>
          <w:rFonts w:eastAsia="仿宋_GB2312"/>
          <w:sz w:val="32"/>
          <w:szCs w:val="32"/>
        </w:rPr>
      </w:pPr>
      <w:r>
        <w:rPr>
          <w:rFonts w:eastAsia="仿宋_GB2312"/>
          <w:sz w:val="32"/>
          <w:szCs w:val="32"/>
        </w:rPr>
        <w:t>七、本年支出：是指单位本年度全部支出。</w:t>
      </w:r>
    </w:p>
    <w:p>
      <w:pPr>
        <w:snapToGrid w:val="0"/>
        <w:spacing w:line="560" w:lineRule="exact"/>
        <w:ind w:firstLine="640" w:firstLineChars="200"/>
        <w:rPr>
          <w:rFonts w:eastAsia="仿宋_GB2312"/>
          <w:sz w:val="32"/>
          <w:szCs w:val="32"/>
        </w:rPr>
      </w:pPr>
      <w:r>
        <w:rPr>
          <w:rFonts w:eastAsia="仿宋_GB2312"/>
          <w:sz w:val="32"/>
          <w:szCs w:val="32"/>
        </w:rPr>
        <w:t>八、结余分配：是指单位当年结余的分配情况。</w:t>
      </w:r>
    </w:p>
    <w:p>
      <w:pPr>
        <w:snapToGrid w:val="0"/>
        <w:spacing w:line="560" w:lineRule="exact"/>
        <w:ind w:firstLine="640" w:firstLineChars="200"/>
        <w:rPr>
          <w:rFonts w:eastAsia="仿宋_GB2312"/>
          <w:sz w:val="32"/>
          <w:szCs w:val="32"/>
        </w:rPr>
      </w:pPr>
      <w:r>
        <w:rPr>
          <w:rFonts w:eastAsia="仿宋_GB2312"/>
          <w:sz w:val="32"/>
          <w:szCs w:val="32"/>
        </w:rPr>
        <w:t>九、年末结转和结余：是指单位结转下年的基本支出结转、项目支出结转和结余和经营结余。</w:t>
      </w:r>
    </w:p>
    <w:p>
      <w:pPr>
        <w:snapToGrid w:val="0"/>
        <w:spacing w:line="560" w:lineRule="exact"/>
        <w:ind w:firstLine="640" w:firstLineChars="200"/>
        <w:rPr>
          <w:rFonts w:eastAsia="仿宋_GB2312"/>
          <w:sz w:val="32"/>
          <w:szCs w:val="32"/>
        </w:rPr>
      </w:pPr>
      <w:r>
        <w:rPr>
          <w:rFonts w:eastAsia="仿宋_GB2312"/>
          <w:sz w:val="32"/>
          <w:szCs w:val="32"/>
        </w:rPr>
        <w:t>十、财政拨款收入：是指单位本年度从本级财政部门取得的财政拨款，包括一般公共预算财政拨款和政府性基金预算财政拨款。</w:t>
      </w:r>
    </w:p>
    <w:p>
      <w:pPr>
        <w:snapToGrid w:val="0"/>
        <w:spacing w:line="560" w:lineRule="exact"/>
        <w:ind w:firstLine="640" w:firstLineChars="200"/>
        <w:rPr>
          <w:rFonts w:eastAsia="仿宋_GB2312"/>
          <w:sz w:val="32"/>
          <w:szCs w:val="32"/>
        </w:rPr>
      </w:pPr>
      <w:r>
        <w:rPr>
          <w:rFonts w:eastAsia="仿宋_GB2312"/>
          <w:sz w:val="32"/>
          <w:szCs w:val="32"/>
        </w:rPr>
        <w:t>十一、事业收入：是指事业单位开展专业业务活动及其辅助活动取得的收入。</w:t>
      </w:r>
    </w:p>
    <w:p>
      <w:pPr>
        <w:snapToGrid w:val="0"/>
        <w:spacing w:line="560" w:lineRule="exact"/>
        <w:ind w:firstLine="640" w:firstLineChars="200"/>
        <w:rPr>
          <w:rFonts w:eastAsia="仿宋_GB2312"/>
          <w:sz w:val="32"/>
          <w:szCs w:val="32"/>
        </w:rPr>
      </w:pPr>
      <w:r>
        <w:rPr>
          <w:rFonts w:eastAsia="仿宋_GB2312"/>
          <w:sz w:val="32"/>
          <w:szCs w:val="32"/>
        </w:rPr>
        <w:t>十二、经营收入：是指事业单位在专业业务活动及其辅助活动之外开展非独立核算经营活动取得的收入。</w:t>
      </w:r>
    </w:p>
    <w:p>
      <w:pPr>
        <w:snapToGrid w:val="0"/>
        <w:spacing w:line="560" w:lineRule="exact"/>
        <w:ind w:firstLine="640" w:firstLineChars="200"/>
        <w:rPr>
          <w:rFonts w:eastAsia="仿宋_GB2312"/>
          <w:sz w:val="32"/>
          <w:szCs w:val="32"/>
        </w:rPr>
      </w:pPr>
      <w:r>
        <w:rPr>
          <w:rFonts w:eastAsia="仿宋_GB2312"/>
          <w:sz w:val="32"/>
          <w:szCs w:val="32"/>
        </w:rPr>
        <w:t>十三、其他收入：是指单位取得的除“财政拨款收入”、“事业收入”、“经营收入”等以外的各项收入。</w:t>
      </w:r>
    </w:p>
    <w:p>
      <w:pPr>
        <w:snapToGrid w:val="0"/>
        <w:spacing w:line="560" w:lineRule="exact"/>
        <w:ind w:firstLine="640" w:firstLineChars="200"/>
        <w:rPr>
          <w:rFonts w:eastAsia="仿宋_GB2312"/>
          <w:sz w:val="32"/>
          <w:szCs w:val="32"/>
        </w:rPr>
      </w:pPr>
      <w:r>
        <w:rPr>
          <w:rFonts w:eastAsia="仿宋_GB2312"/>
          <w:sz w:val="32"/>
          <w:szCs w:val="32"/>
        </w:rPr>
        <w:t>十四、基本支出：是指单位为保障机构正常运转、完成日常工作任务而发生的各项支出。</w:t>
      </w:r>
    </w:p>
    <w:p>
      <w:pPr>
        <w:snapToGrid w:val="0"/>
        <w:spacing w:line="560" w:lineRule="exact"/>
        <w:ind w:firstLine="640" w:firstLineChars="200"/>
        <w:rPr>
          <w:rFonts w:eastAsia="仿宋_GB2312"/>
          <w:sz w:val="32"/>
          <w:szCs w:val="32"/>
        </w:rPr>
      </w:pPr>
      <w:r>
        <w:rPr>
          <w:rFonts w:eastAsia="仿宋_GB2312"/>
          <w:sz w:val="32"/>
          <w:szCs w:val="32"/>
        </w:rPr>
        <w:t>十五、项目支出：是指单位为完成特定的行政工作任务或事业发展目标，在基本支出之外发生的各项支出。</w:t>
      </w:r>
    </w:p>
    <w:p>
      <w:pPr>
        <w:snapToGrid w:val="0"/>
        <w:spacing w:line="560" w:lineRule="exact"/>
        <w:ind w:firstLine="640" w:firstLineChars="200"/>
        <w:rPr>
          <w:rFonts w:eastAsia="仿宋_GB2312"/>
          <w:sz w:val="32"/>
          <w:szCs w:val="32"/>
        </w:rPr>
      </w:pPr>
      <w:r>
        <w:rPr>
          <w:rFonts w:eastAsia="仿宋_GB2312"/>
          <w:sz w:val="32"/>
          <w:szCs w:val="32"/>
        </w:rPr>
        <w:t>十六、经营支出：是指事业单位在专业活动及辅助活动之外开展非独立核算经营活动发生的支出。</w:t>
      </w:r>
    </w:p>
    <w:p>
      <w:pPr>
        <w:snapToGrid w:val="0"/>
        <w:spacing w:line="560" w:lineRule="exact"/>
        <w:ind w:firstLine="640" w:firstLineChars="200"/>
        <w:rPr>
          <w:rFonts w:eastAsia="仿宋_GB2312"/>
          <w:sz w:val="32"/>
          <w:szCs w:val="32"/>
        </w:rPr>
      </w:pPr>
      <w:r>
        <w:rPr>
          <w:rFonts w:eastAsia="仿宋_GB2312"/>
          <w:sz w:val="32"/>
          <w:szCs w:val="32"/>
        </w:rPr>
        <w:t>十七、人员经费：是指单位基本支出中用一般公共预算财政拨款安排的“工资福利支出”和“对个人和家庭的补助”。</w:t>
      </w:r>
    </w:p>
    <w:p>
      <w:pPr>
        <w:snapToGrid w:val="0"/>
        <w:spacing w:line="560" w:lineRule="exact"/>
        <w:ind w:firstLine="640" w:firstLineChars="200"/>
        <w:rPr>
          <w:rFonts w:eastAsia="仿宋_GB2312"/>
          <w:sz w:val="32"/>
          <w:szCs w:val="32"/>
        </w:rPr>
      </w:pPr>
      <w:r>
        <w:rPr>
          <w:rFonts w:eastAsia="仿宋_GB2312"/>
          <w:sz w:val="32"/>
          <w:szCs w:val="32"/>
        </w:rPr>
        <w:t>十八、日常公用经费：是指单位用一般公共预算财政拨款安排的除人员经费以外的基本支出。</w:t>
      </w:r>
    </w:p>
    <w:p>
      <w:pPr>
        <w:snapToGrid w:val="0"/>
        <w:spacing w:line="560" w:lineRule="exact"/>
        <w:ind w:firstLine="640" w:firstLineChars="200"/>
        <w:rPr>
          <w:rFonts w:eastAsia="仿宋_GB2312"/>
          <w:sz w:val="32"/>
          <w:szCs w:val="32"/>
        </w:rPr>
      </w:pPr>
      <w:r>
        <w:rPr>
          <w:rFonts w:eastAsia="仿宋_GB2312"/>
          <w:color w:val="000000"/>
          <w:kern w:val="0"/>
          <w:sz w:val="32"/>
          <w:szCs w:val="32"/>
        </w:rPr>
        <w:t>十九、“三公”经费：纳入中央财政预决算管理的“三公”经费，是指部门用财政拨款安排的因公出国（境）费、公务用车购置及运行费和公务接待费。</w:t>
      </w:r>
    </w:p>
    <w:p>
      <w:pPr>
        <w:snapToGrid w:val="0"/>
        <w:spacing w:line="560" w:lineRule="exact"/>
        <w:ind w:firstLine="640" w:firstLineChars="200"/>
        <w:rPr>
          <w:rFonts w:eastAsia="仿宋_GB2312"/>
          <w:sz w:val="32"/>
          <w:szCs w:val="32"/>
        </w:rPr>
      </w:pPr>
      <w:r>
        <w:rPr>
          <w:rFonts w:eastAsia="仿宋_GB2312"/>
          <w:color w:val="333333"/>
          <w:kern w:val="0"/>
          <w:sz w:val="32"/>
          <w:szCs w:val="32"/>
        </w:rPr>
        <w:t>二十、机关运行经费：</w:t>
      </w:r>
      <w:r>
        <w:rPr>
          <w:rFonts w:eastAsia="仿宋_GB2312"/>
          <w:sz w:val="32"/>
          <w:szCs w:val="32"/>
        </w:rPr>
        <w:t>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Bdr>
          <w:top w:val="none" w:color="auto" w:sz="0" w:space="1"/>
          <w:left w:val="none" w:color="auto" w:sz="0" w:space="4"/>
          <w:bottom w:val="none" w:color="auto" w:sz="0" w:space="1"/>
          <w:right w:val="none" w:color="auto" w:sz="0" w:space="4"/>
        </w:pBdr>
        <w:spacing w:line="560" w:lineRule="exact"/>
        <w:ind w:firstLine="280" w:firstLineChars="100"/>
        <w:rPr>
          <w:rFonts w:eastAsia="仿宋_GB2312"/>
          <w:color w:val="000000"/>
          <w:sz w:val="28"/>
          <w:szCs w:val="28"/>
        </w:rPr>
      </w:pPr>
    </w:p>
    <w:p>
      <w:pPr>
        <w:pBdr>
          <w:top w:val="none" w:color="auto" w:sz="0" w:space="1"/>
          <w:left w:val="none" w:color="auto" w:sz="0" w:space="4"/>
          <w:bottom w:val="none" w:color="auto" w:sz="0" w:space="1"/>
          <w:right w:val="none" w:color="auto" w:sz="0" w:space="4"/>
        </w:pBdr>
        <w:spacing w:line="560" w:lineRule="exact"/>
        <w:ind w:firstLine="280" w:firstLineChars="100"/>
        <w:rPr>
          <w:rFonts w:eastAsia="仿宋_GB2312"/>
          <w:color w:val="000000"/>
          <w:sz w:val="28"/>
          <w:szCs w:val="28"/>
        </w:rPr>
      </w:pPr>
    </w:p>
    <w:p>
      <w:pPr>
        <w:spacing w:line="560" w:lineRule="exact"/>
        <w:rPr>
          <w:rFonts w:eastAsia="仿宋_GB2312"/>
          <w:sz w:val="32"/>
          <w:szCs w:val="32"/>
        </w:rPr>
      </w:pPr>
    </w:p>
    <w:sectPr>
      <w:headerReference r:id="rId4" w:type="default"/>
      <w:footerReference r:id="rId5" w:type="default"/>
      <w:footerReference r:id="rId6" w:type="even"/>
      <w:pgSz w:w="11906" w:h="16838"/>
      <w:pgMar w:top="2098" w:right="1474" w:bottom="1985"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eastAsia="宋体"/>
                            </w:rPr>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5"/>
                      <w:rPr>
                        <w:rFonts w:eastAsia="宋体"/>
                      </w:rPr>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rPr>
        <w:rFonts w:ascii="宋体" w:hAns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eastAsia="宋体"/>
                            </w:rPr>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5"/>
                      <w:rPr>
                        <w:rFonts w:eastAsia="宋体"/>
                      </w:rPr>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t>3</w:t>
    </w:r>
    <w:r>
      <w:rPr>
        <w:rFonts w:ascii="宋体" w:hAnsi="宋体"/>
        <w:sz w:val="24"/>
        <w:szCs w:val="24"/>
      </w:rPr>
      <w:fldChar w:fldCharType="end"/>
    </w:r>
    <w:r>
      <w:rPr>
        <w:rFonts w:hint="eastAsia" w:ascii="宋体" w:hAnsi="宋体"/>
        <w:sz w:val="24"/>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650DEB"/>
    <w:multiLevelType w:val="singleLevel"/>
    <w:tmpl w:val="0C650DEB"/>
    <w:lvl w:ilvl="0" w:tentative="0">
      <w:start w:val="6"/>
      <w:numFmt w:val="decimal"/>
      <w:suff w:val="nothing"/>
      <w:lvlText w:val="%1、"/>
      <w:lvlJc w:val="left"/>
    </w:lvl>
  </w:abstractNum>
  <w:abstractNum w:abstractNumId="1">
    <w:nsid w:val="52BD6578"/>
    <w:multiLevelType w:val="multilevel"/>
    <w:tmpl w:val="52BD6578"/>
    <w:lvl w:ilvl="0" w:tentative="0">
      <w:start w:val="1"/>
      <w:numFmt w:val="japaneseCounting"/>
      <w:lvlText w:val="(%1)"/>
      <w:lvlJc w:val="left"/>
      <w:pPr>
        <w:ind w:left="1690" w:hanging="720"/>
      </w:pPr>
      <w:rPr>
        <w:rFonts w:hint="default"/>
      </w:rPr>
    </w:lvl>
    <w:lvl w:ilvl="1" w:tentative="0">
      <w:start w:val="1"/>
      <w:numFmt w:val="lowerLetter"/>
      <w:lvlText w:val="%2)"/>
      <w:lvlJc w:val="left"/>
      <w:pPr>
        <w:ind w:left="1810" w:hanging="420"/>
      </w:pPr>
    </w:lvl>
    <w:lvl w:ilvl="2" w:tentative="0">
      <w:start w:val="1"/>
      <w:numFmt w:val="lowerRoman"/>
      <w:lvlText w:val="%3."/>
      <w:lvlJc w:val="right"/>
      <w:pPr>
        <w:ind w:left="2230" w:hanging="420"/>
      </w:pPr>
    </w:lvl>
    <w:lvl w:ilvl="3" w:tentative="0">
      <w:start w:val="1"/>
      <w:numFmt w:val="decimal"/>
      <w:lvlText w:val="%4."/>
      <w:lvlJc w:val="left"/>
      <w:pPr>
        <w:ind w:left="2650" w:hanging="420"/>
      </w:pPr>
    </w:lvl>
    <w:lvl w:ilvl="4" w:tentative="0">
      <w:start w:val="1"/>
      <w:numFmt w:val="lowerLetter"/>
      <w:lvlText w:val="%5)"/>
      <w:lvlJc w:val="left"/>
      <w:pPr>
        <w:ind w:left="3070" w:hanging="420"/>
      </w:pPr>
    </w:lvl>
    <w:lvl w:ilvl="5" w:tentative="0">
      <w:start w:val="1"/>
      <w:numFmt w:val="lowerRoman"/>
      <w:lvlText w:val="%6."/>
      <w:lvlJc w:val="right"/>
      <w:pPr>
        <w:ind w:left="3490" w:hanging="420"/>
      </w:pPr>
    </w:lvl>
    <w:lvl w:ilvl="6" w:tentative="0">
      <w:start w:val="1"/>
      <w:numFmt w:val="decimal"/>
      <w:lvlText w:val="%7."/>
      <w:lvlJc w:val="left"/>
      <w:pPr>
        <w:ind w:left="3910" w:hanging="420"/>
      </w:pPr>
    </w:lvl>
    <w:lvl w:ilvl="7" w:tentative="0">
      <w:start w:val="1"/>
      <w:numFmt w:val="lowerLetter"/>
      <w:lvlText w:val="%8)"/>
      <w:lvlJc w:val="left"/>
      <w:pPr>
        <w:ind w:left="4330" w:hanging="420"/>
      </w:pPr>
    </w:lvl>
    <w:lvl w:ilvl="8" w:tentative="0">
      <w:start w:val="1"/>
      <w:numFmt w:val="lowerRoman"/>
      <w:lvlText w:val="%9."/>
      <w:lvlJc w:val="right"/>
      <w:pPr>
        <w:ind w:left="475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ZjdlNGMwNTQ4NGU0YmQxZTMyMzBiN2MwMzkxNzkifQ=="/>
  </w:docVars>
  <w:rsids>
    <w:rsidRoot w:val="00876CFD"/>
    <w:rsid w:val="000121E3"/>
    <w:rsid w:val="0003573B"/>
    <w:rsid w:val="00046373"/>
    <w:rsid w:val="00064B7D"/>
    <w:rsid w:val="00084B99"/>
    <w:rsid w:val="00092914"/>
    <w:rsid w:val="000B5ADA"/>
    <w:rsid w:val="000D146D"/>
    <w:rsid w:val="000D7812"/>
    <w:rsid w:val="000F426C"/>
    <w:rsid w:val="000F6EB0"/>
    <w:rsid w:val="001040EC"/>
    <w:rsid w:val="0011432E"/>
    <w:rsid w:val="00115A5A"/>
    <w:rsid w:val="001209CE"/>
    <w:rsid w:val="00121D1D"/>
    <w:rsid w:val="00127178"/>
    <w:rsid w:val="001455D4"/>
    <w:rsid w:val="0015285D"/>
    <w:rsid w:val="00170096"/>
    <w:rsid w:val="001853AB"/>
    <w:rsid w:val="00185458"/>
    <w:rsid w:val="00194568"/>
    <w:rsid w:val="0019566B"/>
    <w:rsid w:val="001A0621"/>
    <w:rsid w:val="001A49FA"/>
    <w:rsid w:val="001A71BD"/>
    <w:rsid w:val="001D1BCD"/>
    <w:rsid w:val="001D5A18"/>
    <w:rsid w:val="001E42FC"/>
    <w:rsid w:val="002208BB"/>
    <w:rsid w:val="00225288"/>
    <w:rsid w:val="002261A9"/>
    <w:rsid w:val="00232B64"/>
    <w:rsid w:val="002373F7"/>
    <w:rsid w:val="00241D4B"/>
    <w:rsid w:val="002A4158"/>
    <w:rsid w:val="002A6B7C"/>
    <w:rsid w:val="002B4EB7"/>
    <w:rsid w:val="002C4EC2"/>
    <w:rsid w:val="002D03B3"/>
    <w:rsid w:val="002E10E7"/>
    <w:rsid w:val="002E4724"/>
    <w:rsid w:val="002E700E"/>
    <w:rsid w:val="002F42E6"/>
    <w:rsid w:val="003000ED"/>
    <w:rsid w:val="003134E5"/>
    <w:rsid w:val="003174CD"/>
    <w:rsid w:val="003318D5"/>
    <w:rsid w:val="00335027"/>
    <w:rsid w:val="003536C1"/>
    <w:rsid w:val="00367CE2"/>
    <w:rsid w:val="00370B01"/>
    <w:rsid w:val="003A3E0A"/>
    <w:rsid w:val="003B7A20"/>
    <w:rsid w:val="003C00A0"/>
    <w:rsid w:val="003C1FEA"/>
    <w:rsid w:val="003C239F"/>
    <w:rsid w:val="003E5F89"/>
    <w:rsid w:val="003F13BF"/>
    <w:rsid w:val="003F64DD"/>
    <w:rsid w:val="004039EC"/>
    <w:rsid w:val="00414309"/>
    <w:rsid w:val="00415F73"/>
    <w:rsid w:val="004177DC"/>
    <w:rsid w:val="004307D2"/>
    <w:rsid w:val="00443886"/>
    <w:rsid w:val="00444194"/>
    <w:rsid w:val="004506C3"/>
    <w:rsid w:val="00464318"/>
    <w:rsid w:val="0047699E"/>
    <w:rsid w:val="00486ED0"/>
    <w:rsid w:val="0049011D"/>
    <w:rsid w:val="00493CA0"/>
    <w:rsid w:val="004A3CA6"/>
    <w:rsid w:val="004C1793"/>
    <w:rsid w:val="004C6623"/>
    <w:rsid w:val="004D0B32"/>
    <w:rsid w:val="004D3089"/>
    <w:rsid w:val="004D51E6"/>
    <w:rsid w:val="004D787E"/>
    <w:rsid w:val="004E2D47"/>
    <w:rsid w:val="004F510D"/>
    <w:rsid w:val="00505B34"/>
    <w:rsid w:val="00515854"/>
    <w:rsid w:val="005436F3"/>
    <w:rsid w:val="00555B99"/>
    <w:rsid w:val="0057195B"/>
    <w:rsid w:val="005731F5"/>
    <w:rsid w:val="00575663"/>
    <w:rsid w:val="00583891"/>
    <w:rsid w:val="00586C9E"/>
    <w:rsid w:val="00590496"/>
    <w:rsid w:val="005A7FF0"/>
    <w:rsid w:val="005C6367"/>
    <w:rsid w:val="005D193B"/>
    <w:rsid w:val="005D30B4"/>
    <w:rsid w:val="005D413F"/>
    <w:rsid w:val="005D5E5B"/>
    <w:rsid w:val="005D6DFC"/>
    <w:rsid w:val="005E1A87"/>
    <w:rsid w:val="005F2CFF"/>
    <w:rsid w:val="005F741E"/>
    <w:rsid w:val="006234CB"/>
    <w:rsid w:val="006335D9"/>
    <w:rsid w:val="00634422"/>
    <w:rsid w:val="00636F13"/>
    <w:rsid w:val="00643DC0"/>
    <w:rsid w:val="00646027"/>
    <w:rsid w:val="00653696"/>
    <w:rsid w:val="00662784"/>
    <w:rsid w:val="006631B9"/>
    <w:rsid w:val="00691C27"/>
    <w:rsid w:val="00693BCA"/>
    <w:rsid w:val="00694971"/>
    <w:rsid w:val="006A3CBF"/>
    <w:rsid w:val="006B2F4E"/>
    <w:rsid w:val="006E0F71"/>
    <w:rsid w:val="006E78B7"/>
    <w:rsid w:val="006E7CAB"/>
    <w:rsid w:val="0070617C"/>
    <w:rsid w:val="007108AD"/>
    <w:rsid w:val="00720311"/>
    <w:rsid w:val="00724304"/>
    <w:rsid w:val="00726753"/>
    <w:rsid w:val="0073603A"/>
    <w:rsid w:val="0074093F"/>
    <w:rsid w:val="00752ADC"/>
    <w:rsid w:val="0078373B"/>
    <w:rsid w:val="00793831"/>
    <w:rsid w:val="007B4895"/>
    <w:rsid w:val="007D0615"/>
    <w:rsid w:val="007F4F42"/>
    <w:rsid w:val="007F5B7A"/>
    <w:rsid w:val="007F6FF5"/>
    <w:rsid w:val="00800CA3"/>
    <w:rsid w:val="00805F56"/>
    <w:rsid w:val="0081100C"/>
    <w:rsid w:val="00821D3D"/>
    <w:rsid w:val="008266F3"/>
    <w:rsid w:val="00844248"/>
    <w:rsid w:val="008551CB"/>
    <w:rsid w:val="00862F39"/>
    <w:rsid w:val="00876CFD"/>
    <w:rsid w:val="008835FB"/>
    <w:rsid w:val="008C29E6"/>
    <w:rsid w:val="008D2FCF"/>
    <w:rsid w:val="00903CFD"/>
    <w:rsid w:val="00923EA2"/>
    <w:rsid w:val="00934FDA"/>
    <w:rsid w:val="0093544C"/>
    <w:rsid w:val="0094380D"/>
    <w:rsid w:val="0095339D"/>
    <w:rsid w:val="00961CA2"/>
    <w:rsid w:val="00982F01"/>
    <w:rsid w:val="009D012D"/>
    <w:rsid w:val="009D0896"/>
    <w:rsid w:val="009E0791"/>
    <w:rsid w:val="009F473F"/>
    <w:rsid w:val="009F70A7"/>
    <w:rsid w:val="00A22ADE"/>
    <w:rsid w:val="00A42763"/>
    <w:rsid w:val="00A5012B"/>
    <w:rsid w:val="00A54418"/>
    <w:rsid w:val="00A5759A"/>
    <w:rsid w:val="00A73C1C"/>
    <w:rsid w:val="00A80B33"/>
    <w:rsid w:val="00A81964"/>
    <w:rsid w:val="00A97A52"/>
    <w:rsid w:val="00AA38A6"/>
    <w:rsid w:val="00AB7F23"/>
    <w:rsid w:val="00B01697"/>
    <w:rsid w:val="00B04BC9"/>
    <w:rsid w:val="00B12D9E"/>
    <w:rsid w:val="00B35674"/>
    <w:rsid w:val="00B545A2"/>
    <w:rsid w:val="00B576EC"/>
    <w:rsid w:val="00B60694"/>
    <w:rsid w:val="00B62BEA"/>
    <w:rsid w:val="00B76357"/>
    <w:rsid w:val="00B92E7B"/>
    <w:rsid w:val="00BC17E0"/>
    <w:rsid w:val="00BC19C0"/>
    <w:rsid w:val="00BD1056"/>
    <w:rsid w:val="00BD2498"/>
    <w:rsid w:val="00BE2A82"/>
    <w:rsid w:val="00BE7462"/>
    <w:rsid w:val="00BF7815"/>
    <w:rsid w:val="00C017C7"/>
    <w:rsid w:val="00C0787F"/>
    <w:rsid w:val="00C326F4"/>
    <w:rsid w:val="00C53830"/>
    <w:rsid w:val="00C54864"/>
    <w:rsid w:val="00C72F09"/>
    <w:rsid w:val="00C921D5"/>
    <w:rsid w:val="00C934D5"/>
    <w:rsid w:val="00CA21BF"/>
    <w:rsid w:val="00CA6B97"/>
    <w:rsid w:val="00CB0224"/>
    <w:rsid w:val="00CB7CD3"/>
    <w:rsid w:val="00CC6191"/>
    <w:rsid w:val="00CD025A"/>
    <w:rsid w:val="00CF269D"/>
    <w:rsid w:val="00D00525"/>
    <w:rsid w:val="00D075A6"/>
    <w:rsid w:val="00D202F5"/>
    <w:rsid w:val="00D44291"/>
    <w:rsid w:val="00D56225"/>
    <w:rsid w:val="00D6082B"/>
    <w:rsid w:val="00D60C0C"/>
    <w:rsid w:val="00D72410"/>
    <w:rsid w:val="00D762D2"/>
    <w:rsid w:val="00D770D6"/>
    <w:rsid w:val="00D86226"/>
    <w:rsid w:val="00D97459"/>
    <w:rsid w:val="00DA1071"/>
    <w:rsid w:val="00DA2923"/>
    <w:rsid w:val="00DA49A2"/>
    <w:rsid w:val="00DB4D1E"/>
    <w:rsid w:val="00DB65B9"/>
    <w:rsid w:val="00DE65B7"/>
    <w:rsid w:val="00DE72D3"/>
    <w:rsid w:val="00DF2DFC"/>
    <w:rsid w:val="00DF43F1"/>
    <w:rsid w:val="00DF78A2"/>
    <w:rsid w:val="00E10471"/>
    <w:rsid w:val="00E325B0"/>
    <w:rsid w:val="00E3447A"/>
    <w:rsid w:val="00E354AE"/>
    <w:rsid w:val="00E466EB"/>
    <w:rsid w:val="00E811E1"/>
    <w:rsid w:val="00E84BD0"/>
    <w:rsid w:val="00E93C37"/>
    <w:rsid w:val="00E96E1F"/>
    <w:rsid w:val="00EB7057"/>
    <w:rsid w:val="00EC2916"/>
    <w:rsid w:val="00EE073A"/>
    <w:rsid w:val="00EE2938"/>
    <w:rsid w:val="00EE2B73"/>
    <w:rsid w:val="00EE5B8B"/>
    <w:rsid w:val="00F05485"/>
    <w:rsid w:val="00F10E0A"/>
    <w:rsid w:val="00F10F8A"/>
    <w:rsid w:val="00F14406"/>
    <w:rsid w:val="00F14C40"/>
    <w:rsid w:val="00F24B2C"/>
    <w:rsid w:val="00F27B83"/>
    <w:rsid w:val="00F32E1F"/>
    <w:rsid w:val="00F40AB5"/>
    <w:rsid w:val="00F54952"/>
    <w:rsid w:val="00F55B30"/>
    <w:rsid w:val="00F6012D"/>
    <w:rsid w:val="00FA72CF"/>
    <w:rsid w:val="00FC1C8E"/>
    <w:rsid w:val="00FC332A"/>
    <w:rsid w:val="00FD665F"/>
    <w:rsid w:val="00FE2331"/>
    <w:rsid w:val="00FF5B31"/>
    <w:rsid w:val="01034F1A"/>
    <w:rsid w:val="01481A8D"/>
    <w:rsid w:val="016B737C"/>
    <w:rsid w:val="034D6606"/>
    <w:rsid w:val="03D46BA8"/>
    <w:rsid w:val="055B4470"/>
    <w:rsid w:val="0677391C"/>
    <w:rsid w:val="077B0A3B"/>
    <w:rsid w:val="07AA406D"/>
    <w:rsid w:val="09A92C23"/>
    <w:rsid w:val="0AD762BB"/>
    <w:rsid w:val="0B3D34C4"/>
    <w:rsid w:val="0B4A4184"/>
    <w:rsid w:val="0B5C49A1"/>
    <w:rsid w:val="0BF423F2"/>
    <w:rsid w:val="0C0C15B9"/>
    <w:rsid w:val="0C2151A2"/>
    <w:rsid w:val="0D5035EB"/>
    <w:rsid w:val="0D950580"/>
    <w:rsid w:val="0DF471F4"/>
    <w:rsid w:val="0E3D6970"/>
    <w:rsid w:val="0E5000F6"/>
    <w:rsid w:val="0E740DA8"/>
    <w:rsid w:val="1022047D"/>
    <w:rsid w:val="11470E53"/>
    <w:rsid w:val="153B153B"/>
    <w:rsid w:val="17175149"/>
    <w:rsid w:val="17AB70C2"/>
    <w:rsid w:val="18A46CCE"/>
    <w:rsid w:val="18F377B9"/>
    <w:rsid w:val="1902488B"/>
    <w:rsid w:val="19211699"/>
    <w:rsid w:val="1C836E02"/>
    <w:rsid w:val="1D7556AB"/>
    <w:rsid w:val="1DB720E5"/>
    <w:rsid w:val="1EF1063F"/>
    <w:rsid w:val="1F333013"/>
    <w:rsid w:val="1FDA38B5"/>
    <w:rsid w:val="202D67C4"/>
    <w:rsid w:val="20F21F2A"/>
    <w:rsid w:val="234D2A40"/>
    <w:rsid w:val="23A14F59"/>
    <w:rsid w:val="2577019D"/>
    <w:rsid w:val="263D2726"/>
    <w:rsid w:val="265E57E0"/>
    <w:rsid w:val="276C29DA"/>
    <w:rsid w:val="277B12CB"/>
    <w:rsid w:val="29B277F5"/>
    <w:rsid w:val="2AB2772C"/>
    <w:rsid w:val="2BED72ED"/>
    <w:rsid w:val="2C4A489A"/>
    <w:rsid w:val="2D041AA9"/>
    <w:rsid w:val="2E6E551D"/>
    <w:rsid w:val="2FCC15DF"/>
    <w:rsid w:val="30664910"/>
    <w:rsid w:val="30C43F89"/>
    <w:rsid w:val="32690A0A"/>
    <w:rsid w:val="32C03CCF"/>
    <w:rsid w:val="339A4439"/>
    <w:rsid w:val="3524554B"/>
    <w:rsid w:val="365B7FF5"/>
    <w:rsid w:val="365E7B7E"/>
    <w:rsid w:val="36BC007A"/>
    <w:rsid w:val="376D4F25"/>
    <w:rsid w:val="37ED66EF"/>
    <w:rsid w:val="384B3E24"/>
    <w:rsid w:val="39D076BA"/>
    <w:rsid w:val="3A026CB1"/>
    <w:rsid w:val="3C7748EE"/>
    <w:rsid w:val="3CF615DE"/>
    <w:rsid w:val="3DE91B26"/>
    <w:rsid w:val="3F3C1AE3"/>
    <w:rsid w:val="40761C8B"/>
    <w:rsid w:val="41663DB0"/>
    <w:rsid w:val="422F070B"/>
    <w:rsid w:val="42A17B2D"/>
    <w:rsid w:val="42BE425D"/>
    <w:rsid w:val="43F03F1F"/>
    <w:rsid w:val="456C0B61"/>
    <w:rsid w:val="468074A8"/>
    <w:rsid w:val="47E319DC"/>
    <w:rsid w:val="47F93411"/>
    <w:rsid w:val="48365733"/>
    <w:rsid w:val="4842551B"/>
    <w:rsid w:val="488B71FF"/>
    <w:rsid w:val="4B04039A"/>
    <w:rsid w:val="4C99531B"/>
    <w:rsid w:val="4CA07244"/>
    <w:rsid w:val="4D265CAD"/>
    <w:rsid w:val="4D372C3B"/>
    <w:rsid w:val="4E513D50"/>
    <w:rsid w:val="4FA96088"/>
    <w:rsid w:val="519D4EC5"/>
    <w:rsid w:val="526806AC"/>
    <w:rsid w:val="541D55DD"/>
    <w:rsid w:val="546A1291"/>
    <w:rsid w:val="54904E59"/>
    <w:rsid w:val="550408AC"/>
    <w:rsid w:val="554C0C3E"/>
    <w:rsid w:val="566D14D9"/>
    <w:rsid w:val="57307F29"/>
    <w:rsid w:val="576764AE"/>
    <w:rsid w:val="57CD141E"/>
    <w:rsid w:val="599556C4"/>
    <w:rsid w:val="5B686C54"/>
    <w:rsid w:val="5B7A76B5"/>
    <w:rsid w:val="5C601459"/>
    <w:rsid w:val="5CAB26E4"/>
    <w:rsid w:val="5CFB76DC"/>
    <w:rsid w:val="5D077C75"/>
    <w:rsid w:val="5DB13E34"/>
    <w:rsid w:val="5FA40463"/>
    <w:rsid w:val="60157189"/>
    <w:rsid w:val="620B2056"/>
    <w:rsid w:val="621748B9"/>
    <w:rsid w:val="62600B75"/>
    <w:rsid w:val="638F42C7"/>
    <w:rsid w:val="63E13D20"/>
    <w:rsid w:val="64AE774B"/>
    <w:rsid w:val="682811B8"/>
    <w:rsid w:val="68A9378B"/>
    <w:rsid w:val="691620BC"/>
    <w:rsid w:val="6AE71BCF"/>
    <w:rsid w:val="6BEA59D3"/>
    <w:rsid w:val="6D21458A"/>
    <w:rsid w:val="6E04101A"/>
    <w:rsid w:val="6E5C0E9A"/>
    <w:rsid w:val="70427200"/>
    <w:rsid w:val="70615A89"/>
    <w:rsid w:val="714B29C2"/>
    <w:rsid w:val="74F33F23"/>
    <w:rsid w:val="76777BBA"/>
    <w:rsid w:val="7ACE0985"/>
    <w:rsid w:val="7C341D29"/>
    <w:rsid w:val="7CE271F0"/>
    <w:rsid w:val="7D2467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3"/>
    <w:unhideWhenUsed/>
    <w:qFormat/>
    <w:uiPriority w:val="0"/>
    <w:pPr>
      <w:keepNext/>
      <w:keepLines/>
      <w:spacing w:line="413" w:lineRule="auto"/>
      <w:outlineLvl w:val="1"/>
    </w:pPr>
    <w:rPr>
      <w:rFonts w:ascii="Arial" w:hAnsi="Arial" w:eastAsia="黑体" w:cstheme="minorBidi"/>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9"/>
    <w:qFormat/>
    <w:uiPriority w:val="0"/>
    <w:pPr>
      <w:ind w:left="100" w:leftChars="2500"/>
    </w:pPr>
    <w:rPr>
      <w:rFonts w:ascii="Calibri" w:hAnsi="Calibri"/>
      <w:szCs w:val="22"/>
    </w:rPr>
  </w:style>
  <w:style w:type="paragraph" w:styleId="4">
    <w:name w:val="Balloon Text"/>
    <w:basedOn w:val="1"/>
    <w:link w:val="18"/>
    <w:unhideWhenUsed/>
    <w:qFormat/>
    <w:uiPriority w:val="0"/>
    <w:rPr>
      <w:sz w:val="18"/>
      <w:szCs w:val="18"/>
    </w:rPr>
  </w:style>
  <w:style w:type="paragraph" w:styleId="5">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仿宋_GB2312" w:cs="宋体"/>
      <w:kern w:val="0"/>
      <w:sz w:val="24"/>
    </w:rPr>
  </w:style>
  <w:style w:type="paragraph" w:styleId="8">
    <w:name w:val="Title"/>
    <w:basedOn w:val="1"/>
    <w:link w:val="16"/>
    <w:qFormat/>
    <w:uiPriority w:val="0"/>
    <w:pPr>
      <w:spacing w:before="240" w:after="60"/>
      <w:jc w:val="center"/>
      <w:outlineLvl w:val="0"/>
    </w:pPr>
    <w:rPr>
      <w:rFonts w:ascii="Arial" w:hAnsi="Arial" w:cs="Arial"/>
      <w:b/>
      <w:bCs/>
      <w:sz w:val="32"/>
      <w:szCs w:val="32"/>
    </w:r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qFormat/>
    <w:uiPriority w:val="0"/>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标题 Char"/>
    <w:basedOn w:val="10"/>
    <w:link w:val="8"/>
    <w:qFormat/>
    <w:uiPriority w:val="0"/>
    <w:rPr>
      <w:rFonts w:ascii="Arial" w:hAnsi="Arial" w:eastAsia="宋体" w:cs="Arial"/>
      <w:b/>
      <w:bCs/>
      <w:sz w:val="32"/>
      <w:szCs w:val="32"/>
    </w:r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8">
    <w:name w:val="批注框文本 Char"/>
    <w:basedOn w:val="10"/>
    <w:link w:val="4"/>
    <w:qFormat/>
    <w:uiPriority w:val="0"/>
    <w:rPr>
      <w:rFonts w:ascii="Times New Roman" w:hAnsi="Times New Roman" w:eastAsia="宋体" w:cs="Times New Roman"/>
      <w:sz w:val="18"/>
      <w:szCs w:val="18"/>
    </w:rPr>
  </w:style>
  <w:style w:type="character" w:customStyle="1" w:styleId="19">
    <w:name w:val="日期 Char"/>
    <w:basedOn w:val="10"/>
    <w:link w:val="3"/>
    <w:qFormat/>
    <w:uiPriority w:val="0"/>
    <w:rPr>
      <w:rFonts w:ascii="Calibri" w:hAnsi="Calibri" w:eastAsia="宋体" w:cs="Times New Roman"/>
    </w:rPr>
  </w:style>
  <w:style w:type="character" w:customStyle="1" w:styleId="20">
    <w:name w:val="font31"/>
    <w:qFormat/>
    <w:uiPriority w:val="0"/>
    <w:rPr>
      <w:rFonts w:ascii="仿宋_GB2312" w:eastAsia="仿宋_GB2312" w:cs="仿宋_GB2312"/>
      <w:color w:val="000000"/>
      <w:sz w:val="22"/>
      <w:szCs w:val="22"/>
      <w:u w:val="none"/>
    </w:rPr>
  </w:style>
  <w:style w:type="paragraph" w:customStyle="1" w:styleId="21">
    <w:name w:val="Char Char Char Char Char Char Char"/>
    <w:basedOn w:val="1"/>
    <w:qFormat/>
    <w:uiPriority w:val="0"/>
    <w:rPr>
      <w:rFonts w:ascii="Calibri" w:hAnsi="Calibri"/>
    </w:rPr>
  </w:style>
  <w:style w:type="paragraph" w:styleId="22">
    <w:name w:val="List Paragraph"/>
    <w:basedOn w:val="1"/>
    <w:qFormat/>
    <w:uiPriority w:val="99"/>
    <w:pPr>
      <w:ind w:firstLine="420" w:firstLineChars="200"/>
    </w:pPr>
  </w:style>
  <w:style w:type="character" w:customStyle="1" w:styleId="23">
    <w:name w:val="标题 2 Char"/>
    <w:basedOn w:val="10"/>
    <w:link w:val="2"/>
    <w:qFormat/>
    <w:uiPriority w:val="0"/>
    <w:rPr>
      <w:rFonts w:ascii="Arial" w:hAnsi="Arial" w:eastAsia="黑体"/>
      <w:b/>
      <w:sz w:val="32"/>
      <w:szCs w:val="24"/>
    </w:rPr>
  </w:style>
  <w:style w:type="character" w:customStyle="1" w:styleId="24">
    <w:name w:val="font21"/>
    <w:basedOn w:val="10"/>
    <w:qFormat/>
    <w:uiPriority w:val="0"/>
    <w:rPr>
      <w:rFonts w:hint="eastAsia" w:ascii="宋体" w:hAnsi="宋体" w:eastAsia="宋体" w:cs="宋体"/>
      <w:color w:val="000000"/>
      <w:sz w:val="18"/>
      <w:szCs w:val="18"/>
      <w:u w:val="none"/>
    </w:rPr>
  </w:style>
  <w:style w:type="character" w:customStyle="1" w:styleId="25">
    <w:name w:val="font41"/>
    <w:basedOn w:val="10"/>
    <w:qFormat/>
    <w:uiPriority w:val="0"/>
    <w:rPr>
      <w:rFonts w:hint="eastAsia" w:ascii="宋体" w:hAnsi="宋体" w:eastAsia="宋体" w:cs="宋体"/>
      <w:color w:val="000000"/>
      <w:sz w:val="24"/>
      <w:szCs w:val="24"/>
      <w:u w:val="none"/>
    </w:rPr>
  </w:style>
  <w:style w:type="character" w:customStyle="1" w:styleId="26">
    <w:name w:val="font51"/>
    <w:basedOn w:val="10"/>
    <w:qFormat/>
    <w:uiPriority w:val="0"/>
    <w:rPr>
      <w:rFonts w:hint="default" w:ascii="Arial" w:hAnsi="Arial" w:cs="Arial"/>
      <w:color w:val="000000"/>
      <w:sz w:val="20"/>
      <w:szCs w:val="20"/>
      <w:u w:val="none"/>
    </w:rPr>
  </w:style>
  <w:style w:type="paragraph" w:customStyle="1" w:styleId="27">
    <w:name w:val="Char Char"/>
    <w:basedOn w:val="1"/>
    <w:qFormat/>
    <w:uiPriority w:val="0"/>
    <w:pPr>
      <w:widowControl/>
      <w:spacing w:line="360" w:lineRule="auto"/>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53A80A-7AC5-4D50-B986-595AE38D3516}">
  <ds:schemaRefs/>
</ds:datastoreItem>
</file>

<file path=docProps/app.xml><?xml version="1.0" encoding="utf-8"?>
<Properties xmlns="http://schemas.openxmlformats.org/officeDocument/2006/extended-properties" xmlns:vt="http://schemas.openxmlformats.org/officeDocument/2006/docPropsVTypes">
  <Template>Normal</Template>
  <Pages>33</Pages>
  <Words>13012</Words>
  <Characters>21840</Characters>
  <Lines>181</Lines>
  <Paragraphs>51</Paragraphs>
  <TotalTime>8</TotalTime>
  <ScaleCrop>false</ScaleCrop>
  <LinksUpToDate>false</LinksUpToDate>
  <CharactersWithSpaces>22502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2023-09-21T03:33:00Z</dcterms:created>
  <dc:creator>lenovo</dc:creator>
  <cp:lastModifiedBy>WPS_1526302802</cp:lastModifiedBy>
  <cp:lastPrinted>2022-09-28T06:46:00Z</cp:lastPrinted>
  <dcterms:modified xsi:type="dcterms:W3CDTF">2024-12-30T02:03:55Z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CA8B6C8BAFAE4F71A99B083CD4639BCE_13</vt:lpwstr>
  </property>
</Properties>
</file>