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仿宋_GB2312" w:hAnsi="宋体" w:eastAsia="仿宋_GB2312"/>
          <w:b/>
          <w:color w:val="000000" w:themeColor="text1"/>
          <w:kern w:val="0"/>
          <w:sz w:val="36"/>
          <w:szCs w:val="36"/>
          <w14:textFill>
            <w14:solidFill>
              <w14:schemeClr w14:val="tx1"/>
            </w14:solidFill>
          </w14:textFill>
        </w:rPr>
      </w:pPr>
      <w:r>
        <w:rPr>
          <w:rFonts w:hint="eastAsia" w:ascii="仿宋_GB2312" w:hAnsi="宋体" w:eastAsia="仿宋_GB2312"/>
          <w:b/>
          <w:color w:val="000000" w:themeColor="text1"/>
          <w:kern w:val="0"/>
          <w:sz w:val="36"/>
          <w:szCs w:val="36"/>
          <w14:textFill>
            <w14:solidFill>
              <w14:schemeClr w14:val="tx1"/>
            </w14:solidFill>
          </w14:textFill>
        </w:rPr>
        <w:t>宁夏银川市金凤区良田镇人民政府</w:t>
      </w:r>
    </w:p>
    <w:p>
      <w:pPr>
        <w:widowControl/>
        <w:jc w:val="center"/>
        <w:outlineLvl w:val="1"/>
        <w:rPr>
          <w:rFonts w:ascii="仿宋_GB2312" w:hAnsi="宋体" w:eastAsia="仿宋_GB2312"/>
          <w:b/>
          <w:color w:val="000000" w:themeColor="text1"/>
          <w:kern w:val="0"/>
          <w:sz w:val="36"/>
          <w:szCs w:val="36"/>
          <w14:textFill>
            <w14:solidFill>
              <w14:schemeClr w14:val="tx1"/>
            </w14:solidFill>
          </w14:textFill>
        </w:rPr>
      </w:pPr>
      <w:r>
        <w:rPr>
          <w:rFonts w:hint="eastAsia" w:ascii="仿宋_GB2312" w:hAnsi="宋体" w:eastAsia="仿宋_GB2312"/>
          <w:b/>
          <w:color w:val="000000" w:themeColor="text1"/>
          <w:kern w:val="0"/>
          <w:sz w:val="36"/>
          <w:szCs w:val="36"/>
          <w14:textFill>
            <w14:solidFill>
              <w14:schemeClr w14:val="tx1"/>
            </w14:solidFill>
          </w14:textFill>
        </w:rPr>
        <w:t>2021年部门预算——预算表</w:t>
      </w:r>
    </w:p>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r>
        <w:rPr>
          <w:rFonts w:hint="eastAsia" w:ascii="黑体" w:hAnsi="宋体" w:eastAsia="黑体"/>
          <w:b/>
          <w:color w:val="000000" w:themeColor="text1"/>
          <w:kern w:val="0"/>
          <w:sz w:val="32"/>
          <w:szCs w:val="32"/>
          <w14:textFill>
            <w14:solidFill>
              <w14:schemeClr w14:val="tx1"/>
            </w14:solidFill>
          </w14:textFill>
        </w:rPr>
        <w:t>一、财政拨款收支预算表</w:t>
      </w:r>
    </w:p>
    <w:p>
      <w:pPr>
        <w:widowControl/>
        <w:jc w:val="center"/>
        <w:outlineLvl w:val="1"/>
        <w:rPr>
          <w:rFonts w:ascii="仿宋_GB2312" w:hAnsi="宋体" w:eastAsia="仿宋_GB2312"/>
          <w:b/>
          <w:color w:val="000000" w:themeColor="text1"/>
          <w:kern w:val="0"/>
          <w:sz w:val="36"/>
          <w:szCs w:val="36"/>
          <w14:textFill>
            <w14:solidFill>
              <w14:schemeClr w14:val="tx1"/>
            </w14:solidFill>
          </w14:textFill>
        </w:rPr>
      </w:pPr>
      <w:r>
        <w:rPr>
          <w:rFonts w:hint="eastAsia" w:ascii="仿宋_GB2312" w:hAnsi="宋体" w:eastAsia="仿宋_GB2312"/>
          <w:b/>
          <w:color w:val="000000" w:themeColor="text1"/>
          <w:kern w:val="0"/>
          <w:sz w:val="36"/>
          <w:szCs w:val="36"/>
          <w14:textFill>
            <w14:solidFill>
              <w14:schemeClr w14:val="tx1"/>
            </w14:solidFill>
          </w14:textFill>
        </w:rPr>
        <w:t>财政拨款收支预算表</w:t>
      </w:r>
    </w:p>
    <w:p>
      <w:pPr>
        <w:widowControl/>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 xml:space="preserve">                                                                   单位：万元</w:t>
      </w:r>
    </w:p>
    <w:tbl>
      <w:tblPr>
        <w:tblStyle w:val="5"/>
        <w:tblW w:w="13160" w:type="dxa"/>
        <w:tblInd w:w="91" w:type="dxa"/>
        <w:tblLayout w:type="fixed"/>
        <w:tblCellMar>
          <w:top w:w="0" w:type="dxa"/>
          <w:left w:w="108" w:type="dxa"/>
          <w:bottom w:w="0" w:type="dxa"/>
          <w:right w:w="108" w:type="dxa"/>
        </w:tblCellMar>
      </w:tblPr>
      <w:tblGrid>
        <w:gridCol w:w="3860"/>
        <w:gridCol w:w="1360"/>
        <w:gridCol w:w="3860"/>
        <w:gridCol w:w="1360"/>
        <w:gridCol w:w="1360"/>
        <w:gridCol w:w="1360"/>
      </w:tblGrid>
      <w:tr>
        <w:tblPrEx>
          <w:tblLayout w:type="fixed"/>
          <w:tblCellMar>
            <w:top w:w="0" w:type="dxa"/>
            <w:left w:w="108" w:type="dxa"/>
            <w:bottom w:w="0" w:type="dxa"/>
            <w:right w:w="108" w:type="dxa"/>
          </w:tblCellMar>
        </w:tblPrEx>
        <w:trPr>
          <w:trHeight w:val="308" w:hRule="atLeast"/>
        </w:trPr>
        <w:tc>
          <w:tcPr>
            <w:tcW w:w="5220"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b/>
                <w:color w:val="000000" w:themeColor="text1"/>
                <w:kern w:val="0"/>
                <w:sz w:val="22"/>
                <w:szCs w:val="22"/>
                <w14:textFill>
                  <w14:solidFill>
                    <w14:schemeClr w14:val="tx1"/>
                  </w14:solidFill>
                </w14:textFill>
              </w:rPr>
            </w:pPr>
            <w:r>
              <w:rPr>
                <w:rFonts w:hint="eastAsia" w:ascii="宋体" w:hAnsi="宋体" w:cs="Arial"/>
                <w:b/>
                <w:color w:val="000000" w:themeColor="text1"/>
                <w:kern w:val="0"/>
                <w:sz w:val="22"/>
                <w:szCs w:val="22"/>
                <w14:textFill>
                  <w14:solidFill>
                    <w14:schemeClr w14:val="tx1"/>
                  </w14:solidFill>
                </w14:textFill>
              </w:rPr>
              <w:t>收     入</w:t>
            </w:r>
          </w:p>
        </w:tc>
        <w:tc>
          <w:tcPr>
            <w:tcW w:w="7940" w:type="dxa"/>
            <w:gridSpan w:val="4"/>
            <w:tcBorders>
              <w:top w:val="single" w:color="000000" w:sz="8" w:space="0"/>
              <w:left w:val="nil"/>
              <w:bottom w:val="single" w:color="000000" w:sz="4" w:space="0"/>
              <w:right w:val="single" w:color="000000" w:sz="4" w:space="0"/>
            </w:tcBorders>
            <w:vAlign w:val="center"/>
          </w:tcPr>
          <w:p>
            <w:pPr>
              <w:widowControl/>
              <w:jc w:val="center"/>
              <w:rPr>
                <w:rFonts w:ascii="宋体" w:hAnsi="宋体" w:cs="Arial"/>
                <w:b/>
                <w:color w:val="000000" w:themeColor="text1"/>
                <w:kern w:val="0"/>
                <w:sz w:val="22"/>
                <w:szCs w:val="22"/>
                <w14:textFill>
                  <w14:solidFill>
                    <w14:schemeClr w14:val="tx1"/>
                  </w14:solidFill>
                </w14:textFill>
              </w:rPr>
            </w:pPr>
            <w:r>
              <w:rPr>
                <w:rFonts w:hint="eastAsia" w:ascii="宋体" w:hAnsi="宋体" w:cs="Arial"/>
                <w:b/>
                <w:color w:val="000000" w:themeColor="text1"/>
                <w:kern w:val="0"/>
                <w:sz w:val="22"/>
                <w:szCs w:val="22"/>
                <w14:textFill>
                  <w14:solidFill>
                    <w14:schemeClr w14:val="tx1"/>
                  </w14:solidFill>
                </w14:textFill>
              </w:rPr>
              <w:t>支     出</w:t>
            </w:r>
          </w:p>
        </w:tc>
      </w:tr>
      <w:tr>
        <w:tblPrEx>
          <w:tblLayout w:type="fixed"/>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color w:val="000000" w:themeColor="text1"/>
                <w:kern w:val="0"/>
                <w:sz w:val="22"/>
                <w:szCs w:val="22"/>
                <w14:textFill>
                  <w14:solidFill>
                    <w14:schemeClr w14:val="tx1"/>
                  </w14:solidFill>
                </w14:textFill>
              </w:rPr>
            </w:pPr>
            <w:r>
              <w:rPr>
                <w:rFonts w:hint="eastAsia" w:ascii="宋体" w:hAnsi="宋体" w:cs="Arial"/>
                <w:b/>
                <w:color w:val="000000" w:themeColor="text1"/>
                <w:kern w:val="0"/>
                <w:sz w:val="22"/>
                <w:szCs w:val="22"/>
                <w14:textFill>
                  <w14:solidFill>
                    <w14:schemeClr w14:val="tx1"/>
                  </w14:solidFill>
                </w14:textFill>
              </w:rPr>
              <w:t>项    目</w:t>
            </w:r>
          </w:p>
        </w:tc>
        <w:tc>
          <w:tcPr>
            <w:tcW w:w="13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themeColor="text1"/>
                <w:kern w:val="0"/>
                <w:sz w:val="22"/>
                <w:szCs w:val="22"/>
                <w14:textFill>
                  <w14:solidFill>
                    <w14:schemeClr w14:val="tx1"/>
                  </w14:solidFill>
                </w14:textFill>
              </w:rPr>
            </w:pPr>
            <w:r>
              <w:rPr>
                <w:rFonts w:hint="eastAsia" w:ascii="宋体" w:hAnsi="宋体" w:cs="Arial"/>
                <w:b/>
                <w:color w:val="000000" w:themeColor="text1"/>
                <w:kern w:val="0"/>
                <w:sz w:val="22"/>
                <w:szCs w:val="22"/>
                <w14:textFill>
                  <w14:solidFill>
                    <w14:schemeClr w14:val="tx1"/>
                  </w14:solidFill>
                </w14:textFill>
              </w:rPr>
              <w:t>预算数</w:t>
            </w:r>
          </w:p>
        </w:tc>
        <w:tc>
          <w:tcPr>
            <w:tcW w:w="38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themeColor="text1"/>
                <w:kern w:val="0"/>
                <w:sz w:val="22"/>
                <w:szCs w:val="22"/>
                <w14:textFill>
                  <w14:solidFill>
                    <w14:schemeClr w14:val="tx1"/>
                  </w14:solidFill>
                </w14:textFill>
              </w:rPr>
            </w:pPr>
            <w:r>
              <w:rPr>
                <w:rFonts w:hint="eastAsia" w:ascii="宋体" w:hAnsi="宋体" w:cs="Arial"/>
                <w:b/>
                <w:color w:val="000000" w:themeColor="text1"/>
                <w:kern w:val="0"/>
                <w:sz w:val="22"/>
                <w:szCs w:val="22"/>
                <w14:textFill>
                  <w14:solidFill>
                    <w14:schemeClr w14:val="tx1"/>
                  </w14:solidFill>
                </w14:textFill>
              </w:rPr>
              <w:t>项目（按功能分类）</w:t>
            </w:r>
          </w:p>
        </w:tc>
        <w:tc>
          <w:tcPr>
            <w:tcW w:w="40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themeColor="text1"/>
                <w:kern w:val="0"/>
                <w:sz w:val="22"/>
                <w:szCs w:val="22"/>
                <w14:textFill>
                  <w14:solidFill>
                    <w14:schemeClr w14:val="tx1"/>
                  </w14:solidFill>
                </w14:textFill>
              </w:rPr>
            </w:pPr>
            <w:r>
              <w:rPr>
                <w:rFonts w:hint="eastAsia" w:ascii="宋体" w:hAnsi="宋体" w:cs="Arial"/>
                <w:b/>
                <w:color w:val="000000" w:themeColor="text1"/>
                <w:kern w:val="0"/>
                <w:sz w:val="22"/>
                <w:szCs w:val="22"/>
                <w14:textFill>
                  <w14:solidFill>
                    <w14:schemeClr w14:val="tx1"/>
                  </w14:solidFill>
                </w14:textFill>
              </w:rPr>
              <w:t>预算数</w:t>
            </w:r>
          </w:p>
        </w:tc>
      </w:tr>
      <w:tr>
        <w:tblPrEx>
          <w:tblLayout w:type="fixed"/>
          <w:tblCellMar>
            <w:top w:w="0" w:type="dxa"/>
            <w:left w:w="108" w:type="dxa"/>
            <w:bottom w:w="0" w:type="dxa"/>
            <w:right w:w="108" w:type="dxa"/>
          </w:tblCellMar>
        </w:tblPrEx>
        <w:trPr>
          <w:trHeight w:val="1005"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color w:val="000000" w:themeColor="text1"/>
                <w:kern w:val="0"/>
                <w:sz w:val="22"/>
                <w:szCs w:val="22"/>
                <w14:textFill>
                  <w14:solidFill>
                    <w14:schemeClr w14:val="tx1"/>
                  </w14:solidFill>
                </w14:textFill>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themeColor="text1"/>
                <w:kern w:val="0"/>
                <w:sz w:val="22"/>
                <w:szCs w:val="22"/>
                <w14:textFill>
                  <w14:solidFill>
                    <w14:schemeClr w14:val="tx1"/>
                  </w14:solidFill>
                </w14:textFill>
              </w:rPr>
            </w:pPr>
          </w:p>
        </w:tc>
        <w:tc>
          <w:tcPr>
            <w:tcW w:w="38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themeColor="text1"/>
                <w:kern w:val="0"/>
                <w:sz w:val="22"/>
                <w:szCs w:val="22"/>
                <w14:textFill>
                  <w14:solidFill>
                    <w14:schemeClr w14:val="tx1"/>
                  </w14:solidFill>
                </w14:textFill>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themeColor="text1"/>
                <w:kern w:val="0"/>
                <w:sz w:val="22"/>
                <w:szCs w:val="22"/>
                <w14:textFill>
                  <w14:solidFill>
                    <w14:schemeClr w14:val="tx1"/>
                  </w14:solidFill>
                </w14:textFill>
              </w:rPr>
            </w:pPr>
            <w:r>
              <w:rPr>
                <w:rFonts w:hint="eastAsia" w:ascii="宋体" w:hAnsi="宋体" w:cs="Arial"/>
                <w:b/>
                <w:color w:val="000000" w:themeColor="text1"/>
                <w:kern w:val="0"/>
                <w:sz w:val="22"/>
                <w:szCs w:val="22"/>
                <w14:textFill>
                  <w14:solidFill>
                    <w14:schemeClr w14:val="tx1"/>
                  </w14:solidFill>
                </w14:textFill>
              </w:rPr>
              <w:t>小计</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themeColor="text1"/>
                <w:kern w:val="0"/>
                <w:sz w:val="22"/>
                <w:szCs w:val="22"/>
                <w14:textFill>
                  <w14:solidFill>
                    <w14:schemeClr w14:val="tx1"/>
                  </w14:solidFill>
                </w14:textFill>
              </w:rPr>
            </w:pPr>
            <w:r>
              <w:rPr>
                <w:rFonts w:hint="eastAsia" w:ascii="宋体" w:hAnsi="宋体" w:cs="Arial"/>
                <w:b/>
                <w:color w:val="000000" w:themeColor="text1"/>
                <w:kern w:val="0"/>
                <w:sz w:val="22"/>
                <w:szCs w:val="22"/>
                <w14:textFill>
                  <w14:solidFill>
                    <w14:schemeClr w14:val="tx1"/>
                  </w14:solidFill>
                </w14:textFill>
              </w:rPr>
              <w:t>一般公共预算财政拨款支出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themeColor="text1"/>
                <w:kern w:val="0"/>
                <w:sz w:val="22"/>
                <w:szCs w:val="22"/>
                <w14:textFill>
                  <w14:solidFill>
                    <w14:schemeClr w14:val="tx1"/>
                  </w14:solidFill>
                </w14:textFill>
              </w:rPr>
            </w:pPr>
            <w:r>
              <w:rPr>
                <w:rFonts w:hint="eastAsia" w:ascii="宋体" w:hAnsi="宋体" w:cs="Arial"/>
                <w:b/>
                <w:color w:val="000000" w:themeColor="text1"/>
                <w:kern w:val="0"/>
                <w:sz w:val="22"/>
                <w:szCs w:val="22"/>
                <w14:textFill>
                  <w14:solidFill>
                    <w14:schemeClr w14:val="tx1"/>
                  </w14:solidFill>
                </w14:textFill>
              </w:rPr>
              <w:t>政府性基金预算财政拨款支出</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themeColor="text1"/>
                <w:kern w:val="0"/>
                <w:sz w:val="22"/>
                <w:szCs w:val="22"/>
                <w14:textFill>
                  <w14:solidFill>
                    <w14:schemeClr w14:val="tx1"/>
                  </w14:solidFill>
                </w14:textFill>
              </w:rPr>
            </w:pPr>
            <w:r>
              <w:rPr>
                <w:rFonts w:hint="eastAsia" w:ascii="宋体" w:hAnsi="宋体" w:cs="Arial"/>
                <w:b/>
                <w:bCs/>
                <w:color w:val="000000" w:themeColor="text1"/>
                <w:kern w:val="0"/>
                <w:sz w:val="22"/>
                <w:szCs w:val="22"/>
                <w14:textFill>
                  <w14:solidFill>
                    <w14:schemeClr w14:val="tx1"/>
                  </w14:solidFill>
                </w14:textFill>
              </w:rPr>
              <w:t>一、本年收入</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1707.46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themeColor="text1"/>
                <w:kern w:val="0"/>
                <w:sz w:val="22"/>
                <w:szCs w:val="22"/>
                <w14:textFill>
                  <w14:solidFill>
                    <w14:schemeClr w14:val="tx1"/>
                  </w14:solidFill>
                </w14:textFill>
              </w:rPr>
            </w:pPr>
            <w:r>
              <w:rPr>
                <w:rFonts w:hint="eastAsia" w:ascii="宋体" w:hAnsi="宋体" w:cs="Arial"/>
                <w:b/>
                <w:bCs/>
                <w:color w:val="000000" w:themeColor="text1"/>
                <w:kern w:val="0"/>
                <w:sz w:val="22"/>
                <w:szCs w:val="22"/>
                <w14:textFill>
                  <w14:solidFill>
                    <w14:schemeClr w14:val="tx1"/>
                  </w14:solidFill>
                </w14:textFill>
              </w:rPr>
              <w:t>一、本年支出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1707.46</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1707.46</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（一）一般公共预算财政拨款收入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1707.46</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（一）一般公共服务支出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1090.5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1090.5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（二）政府性基金预算财政拨款收入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（二）外交支出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（三）国防支出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（四）公共安全支出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（五）教育支出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（六）科学技术支出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（七）文化旅游体育与传媒支出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（八）社会保障和就业支出</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82.55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82.55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（九）卫生健康支出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34.46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34.46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（十）节能环保支出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（十一）城乡社区支出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（十二）农林水支出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469.21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469.21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（十三）交通运输支出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（十四）资源勘探信息等支出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（十五）商业服务业等支出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（十六）金融支出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（十七）自然资源海洋气象等支出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（十八）住房保障支出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30.74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30.74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（十九）粮油物资储备支出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rPr>
                <w:rFonts w:ascii="宋体" w:hAnsi="宋体" w:cs="Arial"/>
                <w:color w:val="000000" w:themeColor="text1"/>
                <w:kern w:val="0"/>
                <w:sz w:val="22"/>
                <w:szCs w:val="22"/>
                <w14:textFill>
                  <w14:solidFill>
                    <w14:schemeClr w14:val="tx1"/>
                  </w14:solidFill>
                </w14:textFill>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（二十）灾害防治及应急管理支出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（二十一）其他支出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themeColor="text1"/>
                <w:kern w:val="0"/>
                <w:sz w:val="22"/>
                <w:szCs w:val="22"/>
                <w14:textFill>
                  <w14:solidFill>
                    <w14:schemeClr w14:val="tx1"/>
                  </w14:solidFill>
                </w14:textFill>
              </w:rPr>
            </w:pPr>
            <w:r>
              <w:rPr>
                <w:rFonts w:hint="eastAsia" w:ascii="宋体" w:hAnsi="宋体" w:cs="Arial"/>
                <w:b/>
                <w:bCs/>
                <w:color w:val="000000" w:themeColor="text1"/>
                <w:kern w:val="0"/>
                <w:sz w:val="22"/>
                <w:szCs w:val="22"/>
                <w14:textFill>
                  <w14:solidFill>
                    <w14:schemeClr w14:val="tx1"/>
                  </w14:solidFill>
                </w14:textFill>
              </w:rPr>
              <w:t>二、上年结转结余</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themeColor="text1"/>
                <w:kern w:val="0"/>
                <w:sz w:val="22"/>
                <w:szCs w:val="22"/>
                <w14:textFill>
                  <w14:solidFill>
                    <w14:schemeClr w14:val="tx1"/>
                  </w14:solidFill>
                </w14:textFill>
              </w:rPr>
            </w:pPr>
            <w:r>
              <w:rPr>
                <w:rFonts w:hint="eastAsia" w:ascii="宋体" w:hAnsi="宋体" w:cs="Arial"/>
                <w:b/>
                <w:bCs/>
                <w:color w:val="000000" w:themeColor="text1"/>
                <w:kern w:val="0"/>
                <w:sz w:val="22"/>
                <w:szCs w:val="22"/>
                <w14:textFill>
                  <w14:solidFill>
                    <w14:schemeClr w14:val="tx1"/>
                  </w14:solidFill>
                </w14:textFill>
              </w:rPr>
              <w:t>　二、年末结转结余</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（一）一般公共预算财政拨款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（一）一般公共预算财政拨款</w:t>
            </w:r>
          </w:p>
        </w:tc>
        <w:tc>
          <w:tcPr>
            <w:tcW w:w="1360" w:type="dxa"/>
            <w:tcBorders>
              <w:top w:val="nil"/>
              <w:left w:val="nil"/>
              <w:bottom w:val="nil"/>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（二）政府性基金预算财政拨款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3860" w:type="dxa"/>
            <w:tcBorders>
              <w:top w:val="nil"/>
              <w:left w:val="nil"/>
              <w:bottom w:val="single" w:color="000000" w:sz="4" w:space="0"/>
              <w:right w:val="nil"/>
            </w:tcBorders>
            <w:vAlign w:val="center"/>
          </w:tcPr>
          <w:p>
            <w:pPr>
              <w:widowControl/>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（二）政府性基金预算财政拨款</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vAlign w:val="center"/>
          </w:tcPr>
          <w:p>
            <w:pPr>
              <w:widowControl/>
              <w:jc w:val="center"/>
              <w:rPr>
                <w:rFonts w:ascii="宋体" w:hAnsi="宋体" w:cs="Arial"/>
                <w:b/>
                <w:bCs/>
                <w:color w:val="000000" w:themeColor="text1"/>
                <w:kern w:val="0"/>
                <w:sz w:val="22"/>
                <w:szCs w:val="22"/>
                <w14:textFill>
                  <w14:solidFill>
                    <w14:schemeClr w14:val="tx1"/>
                  </w14:solidFill>
                </w14:textFill>
              </w:rPr>
            </w:pPr>
            <w:r>
              <w:rPr>
                <w:rFonts w:hint="eastAsia" w:ascii="宋体" w:hAnsi="宋体" w:cs="Arial"/>
                <w:b/>
                <w:bCs/>
                <w:color w:val="000000" w:themeColor="text1"/>
                <w:kern w:val="0"/>
                <w:sz w:val="22"/>
                <w:szCs w:val="22"/>
                <w14:textFill>
                  <w14:solidFill>
                    <w14:schemeClr w14:val="tx1"/>
                  </w14:solidFill>
                </w14:textFill>
              </w:rPr>
              <w:t>收入总计</w:t>
            </w:r>
          </w:p>
        </w:tc>
        <w:tc>
          <w:tcPr>
            <w:tcW w:w="1360" w:type="dxa"/>
            <w:tcBorders>
              <w:top w:val="nil"/>
              <w:left w:val="nil"/>
              <w:bottom w:val="single" w:color="000000" w:sz="8" w:space="0"/>
              <w:right w:val="single" w:color="000000" w:sz="4" w:space="0"/>
            </w:tcBorders>
            <w:vAlign w:val="center"/>
          </w:tcPr>
          <w:p>
            <w:pPr>
              <w:widowControl/>
              <w:jc w:val="righ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1707.46　　</w:t>
            </w:r>
          </w:p>
        </w:tc>
        <w:tc>
          <w:tcPr>
            <w:tcW w:w="7940" w:type="dxa"/>
            <w:gridSpan w:val="4"/>
            <w:tcBorders>
              <w:top w:val="single" w:color="000000" w:sz="4" w:space="0"/>
              <w:left w:val="nil"/>
              <w:bottom w:val="single" w:color="000000" w:sz="8" w:space="0"/>
              <w:right w:val="single" w:color="000000" w:sz="4" w:space="0"/>
            </w:tcBorders>
            <w:vAlign w:val="center"/>
          </w:tcPr>
          <w:p>
            <w:pPr>
              <w:widowControl/>
              <w:jc w:val="center"/>
              <w:rPr>
                <w:rFonts w:ascii="宋体" w:hAnsi="宋体" w:cs="Arial"/>
                <w:b/>
                <w:bCs/>
                <w:color w:val="000000" w:themeColor="text1"/>
                <w:kern w:val="0"/>
                <w:sz w:val="22"/>
                <w:szCs w:val="22"/>
                <w14:textFill>
                  <w14:solidFill>
                    <w14:schemeClr w14:val="tx1"/>
                  </w14:solidFill>
                </w14:textFill>
              </w:rPr>
            </w:pPr>
            <w:r>
              <w:rPr>
                <w:rFonts w:hint="eastAsia" w:ascii="宋体" w:hAnsi="宋体" w:cs="Arial"/>
                <w:b/>
                <w:bCs/>
                <w:color w:val="000000" w:themeColor="text1"/>
                <w:kern w:val="0"/>
                <w:sz w:val="22"/>
                <w:szCs w:val="22"/>
                <w14:textFill>
                  <w14:solidFill>
                    <w14:schemeClr w14:val="tx1"/>
                  </w14:solidFill>
                </w14:textFill>
              </w:rPr>
              <w:t>支出总计：</w:t>
            </w:r>
            <w:r>
              <w:rPr>
                <w:rFonts w:hint="eastAsia" w:ascii="宋体" w:hAnsi="宋体" w:cs="Arial"/>
                <w:color w:val="000000" w:themeColor="text1"/>
                <w:kern w:val="0"/>
                <w:sz w:val="22"/>
                <w:szCs w:val="22"/>
                <w14:textFill>
                  <w14:solidFill>
                    <w14:schemeClr w14:val="tx1"/>
                  </w14:solidFill>
                </w14:textFill>
              </w:rPr>
              <w:t>1707.46</w:t>
            </w:r>
          </w:p>
        </w:tc>
      </w:tr>
    </w:tbl>
    <w:p>
      <w:pPr>
        <w:widowControl/>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注：支出预算功能科目各单位根据本单位实际据实填写，其他科目删除。</w:t>
      </w:r>
    </w:p>
    <w:p>
      <w:pPr>
        <w:rPr>
          <w:color w:val="FF0000"/>
        </w:rPr>
      </w:pPr>
    </w:p>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r>
        <w:rPr>
          <w:rFonts w:hint="eastAsia" w:ascii="黑体" w:hAnsi="宋体" w:eastAsia="黑体"/>
          <w:b/>
          <w:color w:val="000000" w:themeColor="text1"/>
          <w:kern w:val="0"/>
          <w:sz w:val="32"/>
          <w:szCs w:val="32"/>
          <w14:textFill>
            <w14:solidFill>
              <w14:schemeClr w14:val="tx1"/>
            </w14:solidFill>
          </w14:textFill>
        </w:rPr>
        <w:t>二、一般公共预算财政拨款支出预算表</w:t>
      </w:r>
    </w:p>
    <w:p>
      <w:pPr>
        <w:widowControl/>
        <w:ind w:firstLine="723" w:firstLineChars="200"/>
        <w:jc w:val="center"/>
        <w:outlineLvl w:val="1"/>
        <w:rPr>
          <w:rFonts w:ascii="仿宋_GB2312" w:hAnsi="宋体" w:eastAsia="仿宋_GB2312"/>
          <w:b/>
          <w:color w:val="000000" w:themeColor="text1"/>
          <w:kern w:val="0"/>
          <w:sz w:val="36"/>
          <w:szCs w:val="36"/>
          <w14:textFill>
            <w14:solidFill>
              <w14:schemeClr w14:val="tx1"/>
            </w14:solidFill>
          </w14:textFill>
        </w:rPr>
      </w:pPr>
      <w:r>
        <w:rPr>
          <w:rFonts w:hint="eastAsia" w:ascii="仿宋_GB2312" w:hAnsi="宋体" w:eastAsia="仿宋_GB2312"/>
          <w:b/>
          <w:color w:val="000000" w:themeColor="text1"/>
          <w:kern w:val="0"/>
          <w:sz w:val="36"/>
          <w:szCs w:val="36"/>
          <w14:textFill>
            <w14:solidFill>
              <w14:schemeClr w14:val="tx1"/>
            </w14:solidFill>
          </w14:textFill>
        </w:rPr>
        <w:t>一般公共预算财政拨款支出预算表</w:t>
      </w:r>
    </w:p>
    <w:p>
      <w:pPr>
        <w:widowControl/>
        <w:ind w:firstLine="735"/>
        <w:jc w:val="left"/>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 xml:space="preserve">                                                                     单位：万元</w:t>
      </w:r>
    </w:p>
    <w:tbl>
      <w:tblPr>
        <w:tblStyle w:val="5"/>
        <w:tblW w:w="13510" w:type="dxa"/>
        <w:tblInd w:w="91" w:type="dxa"/>
        <w:tblLayout w:type="fixed"/>
        <w:tblCellMar>
          <w:top w:w="0" w:type="dxa"/>
          <w:left w:w="108" w:type="dxa"/>
          <w:bottom w:w="0" w:type="dxa"/>
          <w:right w:w="108" w:type="dxa"/>
        </w:tblCellMar>
      </w:tblPr>
      <w:tblGrid>
        <w:gridCol w:w="1637"/>
        <w:gridCol w:w="1980"/>
        <w:gridCol w:w="1779"/>
        <w:gridCol w:w="1620"/>
        <w:gridCol w:w="1800"/>
        <w:gridCol w:w="1980"/>
        <w:gridCol w:w="236"/>
        <w:gridCol w:w="1024"/>
        <w:gridCol w:w="1454"/>
      </w:tblGrid>
      <w:tr>
        <w:tblPrEx>
          <w:tblLayout w:type="fixed"/>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功能分类科目</w:t>
            </w:r>
          </w:p>
        </w:tc>
        <w:tc>
          <w:tcPr>
            <w:tcW w:w="1779" w:type="dxa"/>
            <w:vMerge w:val="restart"/>
            <w:tcBorders>
              <w:top w:val="single" w:color="auto" w:sz="4" w:space="0"/>
              <w:left w:val="nil"/>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2020年执行数（决算数）</w:t>
            </w:r>
          </w:p>
          <w:p>
            <w:pPr>
              <w:jc w:val="center"/>
              <w:rPr>
                <w:rFonts w:ascii="宋体" w:hAnsi="宋体" w:cs="宋体"/>
                <w:b/>
                <w:bCs/>
                <w:color w:val="000000" w:themeColor="text1"/>
                <w:kern w:val="0"/>
                <w:sz w:val="22"/>
                <w:szCs w:val="22"/>
                <w14:textFill>
                  <w14:solidFill>
                    <w14:schemeClr w14:val="tx1"/>
                  </w14:solidFill>
                </w14:textFill>
              </w:rPr>
            </w:pPr>
          </w:p>
        </w:tc>
        <w:tc>
          <w:tcPr>
            <w:tcW w:w="54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2021年预算数</w:t>
            </w:r>
          </w:p>
        </w:tc>
        <w:tc>
          <w:tcPr>
            <w:tcW w:w="2714" w:type="dxa"/>
            <w:gridSpan w:val="3"/>
            <w:tcBorders>
              <w:top w:val="single" w:color="auto" w:sz="4" w:space="0"/>
              <w:bottom w:val="single" w:color="auto" w:sz="4" w:space="0"/>
              <w:right w:val="single" w:color="auto" w:sz="4" w:space="0"/>
            </w:tcBorders>
            <w:vAlign w:val="center"/>
          </w:tcPr>
          <w:p>
            <w:pPr>
              <w:widowControl/>
              <w:jc w:val="center"/>
              <w:rPr>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2021年预算数与2020年执行数（决算数）</w:t>
            </w:r>
          </w:p>
        </w:tc>
      </w:tr>
      <w:tr>
        <w:tblPrEx>
          <w:tblLayout w:type="fixed"/>
          <w:tblCellMar>
            <w:top w:w="0" w:type="dxa"/>
            <w:left w:w="108" w:type="dxa"/>
            <w:bottom w:w="0" w:type="dxa"/>
            <w:right w:w="108" w:type="dxa"/>
          </w:tblCellMar>
        </w:tblPrEx>
        <w:trPr>
          <w:trHeight w:val="1125" w:hRule="atLeast"/>
        </w:trPr>
        <w:tc>
          <w:tcPr>
            <w:tcW w:w="16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科目编码</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科目名称</w:t>
            </w:r>
          </w:p>
        </w:tc>
        <w:tc>
          <w:tcPr>
            <w:tcW w:w="1779"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合计</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基本支出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项目支出</w:t>
            </w:r>
          </w:p>
        </w:tc>
        <w:tc>
          <w:tcPr>
            <w:tcW w:w="236" w:type="dxa"/>
            <w:tcBorders>
              <w:top w:val="single" w:color="auto" w:sz="4" w:space="0"/>
              <w:bottom w:val="single" w:color="auto" w:sz="4" w:space="0"/>
            </w:tcBorders>
            <w:vAlign w:val="center"/>
          </w:tcPr>
          <w:p>
            <w:pPr>
              <w:widowControl/>
              <w:jc w:val="left"/>
              <w:rPr>
                <w:color w:val="000000" w:themeColor="text1"/>
                <w:kern w:val="0"/>
                <w:sz w:val="20"/>
                <w:szCs w:val="20"/>
                <w14:textFill>
                  <w14:solidFill>
                    <w14:schemeClr w14:val="tx1"/>
                  </w14:solidFill>
                </w14:textFill>
              </w:rPr>
            </w:pPr>
          </w:p>
        </w:tc>
        <w:tc>
          <w:tcPr>
            <w:tcW w:w="1024" w:type="dxa"/>
            <w:tcBorders>
              <w:top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增减额</w:t>
            </w:r>
          </w:p>
        </w:tc>
        <w:tc>
          <w:tcPr>
            <w:tcW w:w="1454"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增减%</w:t>
            </w:r>
          </w:p>
        </w:tc>
      </w:tr>
      <w:tr>
        <w:tblPrEx>
          <w:tblLayout w:type="fixed"/>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2010301</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行政运行</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1130.05　</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965.29</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778.65</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186.64　</w:t>
            </w:r>
          </w:p>
        </w:tc>
        <w:tc>
          <w:tcPr>
            <w:tcW w:w="1260" w:type="dxa"/>
            <w:gridSpan w:val="2"/>
            <w:tcBorders>
              <w:bottom w:val="single" w:color="auto" w:sz="4" w:space="0"/>
              <w:right w:val="single" w:color="auto" w:sz="4" w:space="0"/>
            </w:tcBorders>
          </w:tcPr>
          <w:p>
            <w:pPr>
              <w:widowControl/>
              <w:jc w:val="left"/>
              <w:rPr>
                <w:kern w:val="0"/>
                <w:sz w:val="20"/>
                <w:szCs w:val="20"/>
              </w:rPr>
            </w:pPr>
            <w:r>
              <w:rPr>
                <w:rFonts w:hint="eastAsia"/>
                <w:kern w:val="0"/>
                <w:sz w:val="20"/>
                <w:szCs w:val="20"/>
              </w:rPr>
              <w:t>减164.76</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减14.58%</w:t>
            </w:r>
          </w:p>
        </w:tc>
      </w:tr>
      <w:tr>
        <w:tblPrEx>
          <w:tblLayout w:type="fixed"/>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2080501</w:t>
            </w:r>
          </w:p>
        </w:tc>
        <w:tc>
          <w:tcPr>
            <w:tcW w:w="19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行政单位离退休</w:t>
            </w:r>
          </w:p>
        </w:tc>
        <w:tc>
          <w:tcPr>
            <w:tcW w:w="1779"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23.01</w:t>
            </w:r>
          </w:p>
        </w:tc>
        <w:tc>
          <w:tcPr>
            <w:tcW w:w="162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22.19</w:t>
            </w:r>
          </w:p>
        </w:tc>
        <w:tc>
          <w:tcPr>
            <w:tcW w:w="180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22.19</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126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减0.82</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减3.56%</w:t>
            </w:r>
          </w:p>
        </w:tc>
      </w:tr>
      <w:tr>
        <w:tblPrEx>
          <w:tblLayout w:type="fixed"/>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2080505</w:t>
            </w:r>
          </w:p>
        </w:tc>
        <w:tc>
          <w:tcPr>
            <w:tcW w:w="19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机关事业单位基本养老保险缴费支出</w:t>
            </w:r>
          </w:p>
        </w:tc>
        <w:tc>
          <w:tcPr>
            <w:tcW w:w="1779"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41.9</w:t>
            </w:r>
          </w:p>
        </w:tc>
        <w:tc>
          <w:tcPr>
            <w:tcW w:w="162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40.64</w:t>
            </w:r>
          </w:p>
        </w:tc>
        <w:tc>
          <w:tcPr>
            <w:tcW w:w="180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40.64</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126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减1.26</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减3%</w:t>
            </w:r>
          </w:p>
        </w:tc>
      </w:tr>
      <w:tr>
        <w:tblPrEx>
          <w:tblLayout w:type="fixed"/>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2080506</w:t>
            </w:r>
          </w:p>
        </w:tc>
        <w:tc>
          <w:tcPr>
            <w:tcW w:w="19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机关事业单位职业年金缴费支出</w:t>
            </w:r>
          </w:p>
        </w:tc>
        <w:tc>
          <w:tcPr>
            <w:tcW w:w="1779"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kern w:val="0"/>
                <w:sz w:val="20"/>
                <w:szCs w:val="20"/>
              </w:rPr>
            </w:pPr>
            <w:r>
              <w:rPr>
                <w:rFonts w:hint="eastAsia" w:ascii="宋体" w:hAnsi="宋体" w:cs="宋体"/>
                <w:kern w:val="0"/>
                <w:sz w:val="20"/>
                <w:szCs w:val="20"/>
              </w:rPr>
              <w:t>9.72</w:t>
            </w:r>
          </w:p>
        </w:tc>
        <w:tc>
          <w:tcPr>
            <w:tcW w:w="162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19.72</w:t>
            </w:r>
          </w:p>
        </w:tc>
        <w:tc>
          <w:tcPr>
            <w:tcW w:w="180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19.72</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126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增10</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增102.88%</w:t>
            </w:r>
          </w:p>
        </w:tc>
      </w:tr>
      <w:tr>
        <w:tblPrEx>
          <w:tblLayout w:type="fixed"/>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2101101</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行政单位医疗</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21.26</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22.51</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22.51</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126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增1.25</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增5.88 %</w:t>
            </w:r>
          </w:p>
        </w:tc>
      </w:tr>
      <w:tr>
        <w:tblPrEx>
          <w:tblLayout w:type="fixed"/>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2101103</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公务员医疗补助</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9.51　</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11.94</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11.94</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26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增2.43</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增25.55 %</w:t>
            </w:r>
          </w:p>
        </w:tc>
      </w:tr>
      <w:tr>
        <w:tblPrEx>
          <w:tblLayout w:type="fixed"/>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2210201</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住房公积金</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29.89</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30.74</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30.74</w:t>
            </w: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126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增0.85</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减2.84 %</w:t>
            </w:r>
          </w:p>
        </w:tc>
      </w:tr>
      <w:tr>
        <w:tblPrEx>
          <w:tblLayout w:type="fixed"/>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2010302</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一般行政管理事务</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65.03</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125.22</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125.22</w:t>
            </w:r>
          </w:p>
        </w:tc>
        <w:tc>
          <w:tcPr>
            <w:tcW w:w="126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增60.19</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减 92.56%</w:t>
            </w:r>
          </w:p>
        </w:tc>
      </w:tr>
      <w:tr>
        <w:tblPrEx>
          <w:tblLayout w:type="fixed"/>
          <w:tblCellMar>
            <w:top w:w="0" w:type="dxa"/>
            <w:left w:w="108" w:type="dxa"/>
            <w:bottom w:w="0" w:type="dxa"/>
            <w:right w:w="108" w:type="dxa"/>
          </w:tblCellMar>
        </w:tblPrEx>
        <w:trPr>
          <w:trHeight w:val="603" w:hRule="atLeast"/>
        </w:trPr>
        <w:tc>
          <w:tcPr>
            <w:tcW w:w="16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2130122</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农业生产发展</w:t>
            </w:r>
          </w:p>
        </w:tc>
        <w:tc>
          <w:tcPr>
            <w:tcW w:w="1779" w:type="dxa"/>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502.99</w:t>
            </w:r>
          </w:p>
        </w:tc>
        <w:tc>
          <w:tcPr>
            <w:tcW w:w="162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469.21</w:t>
            </w:r>
          </w:p>
        </w:tc>
        <w:tc>
          <w:tcPr>
            <w:tcW w:w="180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1980"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469.21</w:t>
            </w:r>
          </w:p>
        </w:tc>
        <w:tc>
          <w:tcPr>
            <w:tcW w:w="1260" w:type="dxa"/>
            <w:gridSpan w:val="2"/>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减33.78</w:t>
            </w:r>
          </w:p>
        </w:tc>
        <w:tc>
          <w:tcPr>
            <w:tcW w:w="1454" w:type="dxa"/>
            <w:tcBorders>
              <w:top w:val="single" w:color="auto" w:sz="4" w:space="0"/>
              <w:bottom w:val="single" w:color="auto" w:sz="4" w:space="0"/>
              <w:right w:val="single" w:color="auto" w:sz="4" w:space="0"/>
            </w:tcBorders>
          </w:tcPr>
          <w:p>
            <w:pPr>
              <w:widowControl/>
              <w:jc w:val="left"/>
              <w:rPr>
                <w:kern w:val="0"/>
                <w:sz w:val="20"/>
                <w:szCs w:val="20"/>
              </w:rPr>
            </w:pPr>
            <w:r>
              <w:rPr>
                <w:rFonts w:hint="eastAsia"/>
                <w:kern w:val="0"/>
                <w:sz w:val="20"/>
                <w:szCs w:val="20"/>
              </w:rPr>
              <w:t>减 6.72%</w:t>
            </w:r>
          </w:p>
        </w:tc>
      </w:tr>
    </w:tbl>
    <w:p>
      <w:pPr>
        <w:widowControl/>
        <w:spacing w:line="520" w:lineRule="exact"/>
        <w:outlineLvl w:val="1"/>
        <w:rPr>
          <w:rFonts w:hint="eastAsia" w:ascii="黑体" w:hAnsi="宋体" w:eastAsia="黑体"/>
          <w:b/>
          <w:color w:val="000000" w:themeColor="text1"/>
          <w:kern w:val="0"/>
          <w:sz w:val="32"/>
          <w:szCs w:val="32"/>
          <w14:textFill>
            <w14:solidFill>
              <w14:schemeClr w14:val="tx1"/>
            </w14:solidFill>
          </w14:textFill>
        </w:rPr>
      </w:pPr>
    </w:p>
    <w:p>
      <w:pPr>
        <w:widowControl/>
        <w:spacing w:line="520" w:lineRule="exact"/>
        <w:outlineLvl w:val="1"/>
        <w:rPr>
          <w:rFonts w:hint="eastAsia" w:ascii="黑体" w:hAnsi="宋体" w:eastAsia="黑体"/>
          <w:b/>
          <w:color w:val="000000" w:themeColor="text1"/>
          <w:kern w:val="0"/>
          <w:sz w:val="32"/>
          <w:szCs w:val="32"/>
          <w14:textFill>
            <w14:solidFill>
              <w14:schemeClr w14:val="tx1"/>
            </w14:solidFill>
          </w14:textFill>
        </w:rPr>
      </w:pPr>
    </w:p>
    <w:p>
      <w:pPr>
        <w:widowControl/>
        <w:spacing w:line="520" w:lineRule="exact"/>
        <w:outlineLvl w:val="1"/>
        <w:rPr>
          <w:rFonts w:hint="eastAsia" w:ascii="黑体" w:hAnsi="宋体" w:eastAsia="黑体"/>
          <w:b/>
          <w:color w:val="000000" w:themeColor="text1"/>
          <w:kern w:val="0"/>
          <w:sz w:val="32"/>
          <w:szCs w:val="32"/>
          <w14:textFill>
            <w14:solidFill>
              <w14:schemeClr w14:val="tx1"/>
            </w14:solidFill>
          </w14:textFill>
        </w:rPr>
      </w:pPr>
    </w:p>
    <w:p>
      <w:pPr>
        <w:widowControl/>
        <w:spacing w:line="520" w:lineRule="exact"/>
        <w:outlineLvl w:val="1"/>
        <w:rPr>
          <w:rFonts w:ascii="黑体" w:hAnsi="宋体" w:eastAsia="黑体"/>
          <w:b/>
          <w:color w:val="000000" w:themeColor="text1"/>
          <w:kern w:val="0"/>
          <w:sz w:val="32"/>
          <w:szCs w:val="32"/>
          <w14:textFill>
            <w14:solidFill>
              <w14:schemeClr w14:val="tx1"/>
            </w14:solidFill>
          </w14:textFill>
        </w:rPr>
      </w:pPr>
      <w:r>
        <w:rPr>
          <w:rFonts w:hint="eastAsia" w:ascii="黑体" w:hAnsi="宋体" w:eastAsia="黑体"/>
          <w:b/>
          <w:color w:val="000000" w:themeColor="text1"/>
          <w:kern w:val="0"/>
          <w:sz w:val="32"/>
          <w:szCs w:val="32"/>
          <w14:textFill>
            <w14:solidFill>
              <w14:schemeClr w14:val="tx1"/>
            </w14:solidFill>
          </w14:textFill>
        </w:rPr>
        <w:t>三、一般公共预算财政拨款基本支出预算表</w:t>
      </w:r>
    </w:p>
    <w:p>
      <w:pPr>
        <w:widowControl/>
        <w:spacing w:line="520" w:lineRule="exact"/>
        <w:ind w:firstLine="723" w:firstLineChars="200"/>
        <w:jc w:val="center"/>
        <w:outlineLvl w:val="1"/>
        <w:rPr>
          <w:rFonts w:ascii="仿宋_GB2312" w:hAnsi="宋体" w:eastAsia="仿宋_GB2312"/>
          <w:b/>
          <w:color w:val="000000" w:themeColor="text1"/>
          <w:kern w:val="0"/>
          <w:sz w:val="36"/>
          <w:szCs w:val="36"/>
          <w14:textFill>
            <w14:solidFill>
              <w14:schemeClr w14:val="tx1"/>
            </w14:solidFill>
          </w14:textFill>
        </w:rPr>
      </w:pPr>
      <w:r>
        <w:rPr>
          <w:rFonts w:hint="eastAsia" w:ascii="仿宋_GB2312" w:hAnsi="宋体" w:eastAsia="仿宋_GB2312"/>
          <w:b/>
          <w:color w:val="000000" w:themeColor="text1"/>
          <w:kern w:val="0"/>
          <w:sz w:val="36"/>
          <w:szCs w:val="36"/>
          <w14:textFill>
            <w14:solidFill>
              <w14:schemeClr w14:val="tx1"/>
            </w14:solidFill>
          </w14:textFill>
        </w:rPr>
        <w:t>一般公共预算财政拨款基本支出预算表</w:t>
      </w:r>
    </w:p>
    <w:p>
      <w:pPr>
        <w:widowControl/>
        <w:spacing w:line="520" w:lineRule="exact"/>
        <w:ind w:firstLine="735"/>
        <w:jc w:val="left"/>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 xml:space="preserve">                                                                    单位：万元</w:t>
      </w:r>
    </w:p>
    <w:tbl>
      <w:tblPr>
        <w:tblStyle w:val="5"/>
        <w:tblpPr w:leftFromText="180" w:rightFromText="180" w:vertAnchor="text" w:tblpY="1"/>
        <w:tblOverlap w:val="never"/>
        <w:tblW w:w="13517" w:type="dxa"/>
        <w:tblInd w:w="0" w:type="dxa"/>
        <w:tblLayout w:type="fixed"/>
        <w:tblCellMar>
          <w:top w:w="0" w:type="dxa"/>
          <w:left w:w="108" w:type="dxa"/>
          <w:bottom w:w="0" w:type="dxa"/>
          <w:right w:w="108" w:type="dxa"/>
        </w:tblCellMar>
      </w:tblPr>
      <w:tblGrid>
        <w:gridCol w:w="2357"/>
        <w:gridCol w:w="3600"/>
        <w:gridCol w:w="2520"/>
        <w:gridCol w:w="2700"/>
        <w:gridCol w:w="2340"/>
      </w:tblGrid>
      <w:tr>
        <w:tblPrEx>
          <w:tblLayout w:type="fixed"/>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经济科目</w:t>
            </w:r>
          </w:p>
        </w:tc>
        <w:tc>
          <w:tcPr>
            <w:tcW w:w="756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基本支出预算</w:t>
            </w:r>
          </w:p>
        </w:tc>
      </w:tr>
      <w:tr>
        <w:tblPrEx>
          <w:tblLayout w:type="fixed"/>
          <w:tblCellMar>
            <w:top w:w="0" w:type="dxa"/>
            <w:left w:w="108" w:type="dxa"/>
            <w:bottom w:w="0" w:type="dxa"/>
            <w:right w:w="108" w:type="dxa"/>
          </w:tblCellMar>
        </w:tblPrEx>
        <w:trPr>
          <w:trHeight w:val="397" w:hRule="atLeast"/>
          <w:tblHeader/>
        </w:trPr>
        <w:tc>
          <w:tcPr>
            <w:tcW w:w="2357"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科目编码</w:t>
            </w:r>
          </w:p>
        </w:tc>
        <w:tc>
          <w:tcPr>
            <w:tcW w:w="3600" w:type="dxa"/>
            <w:tcBorders>
              <w:top w:val="nil"/>
              <w:left w:val="nil"/>
              <w:bottom w:val="single" w:color="auto" w:sz="4" w:space="0"/>
              <w:right w:val="single" w:color="auto" w:sz="4" w:space="0"/>
            </w:tcBorders>
            <w:vAlign w:val="center"/>
          </w:tcPr>
          <w:p>
            <w:pPr>
              <w:jc w:val="center"/>
              <w:rPr>
                <w:rFonts w:ascii="宋体" w:hAnsi="宋体" w:cs="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科目名称</w:t>
            </w:r>
          </w:p>
        </w:tc>
        <w:tc>
          <w:tcPr>
            <w:tcW w:w="2520" w:type="dxa"/>
            <w:tcBorders>
              <w:top w:val="nil"/>
              <w:left w:val="nil"/>
              <w:bottom w:val="single" w:color="auto" w:sz="4" w:space="0"/>
              <w:right w:val="single" w:color="auto" w:sz="4" w:space="0"/>
            </w:tcBorders>
            <w:vAlign w:val="center"/>
          </w:tcPr>
          <w:p>
            <w:pPr>
              <w:jc w:val="center"/>
              <w:rPr>
                <w:rFonts w:ascii="宋体" w:hAnsi="宋体" w:cs="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合计</w:t>
            </w:r>
          </w:p>
        </w:tc>
        <w:tc>
          <w:tcPr>
            <w:tcW w:w="2700" w:type="dxa"/>
            <w:tcBorders>
              <w:top w:val="nil"/>
              <w:left w:val="nil"/>
              <w:bottom w:val="single" w:color="auto" w:sz="4" w:space="0"/>
              <w:right w:val="single" w:color="auto" w:sz="4" w:space="0"/>
            </w:tcBorders>
            <w:vAlign w:val="center"/>
          </w:tcPr>
          <w:p>
            <w:pPr>
              <w:jc w:val="center"/>
              <w:rPr>
                <w:rFonts w:ascii="宋体" w:hAnsi="宋体" w:cs="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人员支出</w:t>
            </w:r>
          </w:p>
        </w:tc>
        <w:tc>
          <w:tcPr>
            <w:tcW w:w="2340" w:type="dxa"/>
            <w:tcBorders>
              <w:top w:val="nil"/>
              <w:left w:val="nil"/>
              <w:bottom w:val="single" w:color="auto" w:sz="4" w:space="0"/>
              <w:right w:val="single" w:color="auto" w:sz="4" w:space="0"/>
            </w:tcBorders>
            <w:vAlign w:val="center"/>
          </w:tcPr>
          <w:p>
            <w:pPr>
              <w:jc w:val="center"/>
              <w:rPr>
                <w:rFonts w:ascii="宋体" w:hAnsi="宋体" w:cs="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日常公用支出</w:t>
            </w:r>
          </w:p>
        </w:tc>
      </w:tr>
      <w:tr>
        <w:tblPrEx>
          <w:tblLayout w:type="fixed"/>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总计</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1238.26</w:t>
            </w:r>
          </w:p>
        </w:tc>
        <w:tc>
          <w:tcPr>
            <w:tcW w:w="2700" w:type="dxa"/>
            <w:tcBorders>
              <w:top w:val="nil"/>
              <w:left w:val="nil"/>
              <w:bottom w:val="single" w:color="auto" w:sz="4" w:space="0"/>
              <w:right w:val="single" w:color="auto" w:sz="4" w:space="0"/>
            </w:tcBorders>
            <w:vAlign w:val="center"/>
          </w:tcPr>
          <w:p>
            <w:pPr>
              <w:ind w:right="440" w:firstLine="880" w:firstLineChars="4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1009.96</w:t>
            </w:r>
          </w:p>
        </w:tc>
        <w:tc>
          <w:tcPr>
            <w:tcW w:w="2340" w:type="dxa"/>
            <w:tcBorders>
              <w:top w:val="nil"/>
              <w:left w:val="nil"/>
              <w:bottom w:val="single" w:color="auto" w:sz="4" w:space="0"/>
              <w:right w:val="single" w:color="auto" w:sz="4" w:space="0"/>
            </w:tcBorders>
            <w:vAlign w:val="center"/>
          </w:tcPr>
          <w:p>
            <w:pPr>
              <w:jc w:val="righ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228.3</w:t>
            </w:r>
          </w:p>
        </w:tc>
      </w:tr>
      <w:tr>
        <w:tblPrEx>
          <w:tblLayout w:type="fixed"/>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一、工资福利支出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987.11</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987.11</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基本工资</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132.28</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132.28</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津贴补贴</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158.2</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158.2</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奖金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162.85</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162.85</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伙食补助费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绩效工资</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机关事业单位基本养老保险缴费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40.64</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40.64</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职业年金缴费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19.72</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19.72</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职工基本医疗保险缴费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22.51</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22.51</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公务员医疗补助缴费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11.94</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11.94</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其他社会保障缴费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1.68</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1.68</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住房公积金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30.74</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30.74</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医疗费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30199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其他工资福利支出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406.55</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406.55</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二、商品和服务支出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228.3</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ind w:right="440" w:firstLine="660" w:firstLineChars="3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228.3</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办公费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56.75</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56.75</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印刷费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咨询费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手续费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水费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邮电费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取暖费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18.97</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18.96</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物业管理费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差旅费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因公出国（境）费用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w:t>
            </w: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w:t>
            </w: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维修（护）费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租赁费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30215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会议费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30216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培训费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30217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公务接待费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30218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专用材料费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30224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被装购置费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30225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专用燃料费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30226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劳务费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7.06</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7.06</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30227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委托业务费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30228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工会经费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30229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福利费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30231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公务用车运行维护费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30239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其他交通费用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15.58</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15.58</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30240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税金及附加费用</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30299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其他商品和服务支出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107.94</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107.94</w:t>
            </w: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三、对个人和家庭的补助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22.85</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22.85</w:t>
            </w: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离休费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退休费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22.19</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22.19</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退职（役）费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抚恤金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生活补助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0.66</w:t>
            </w: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0.66</w:t>
            </w: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救济费</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医疗费补助</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助学金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奖励金</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个人农业生产补贴</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其他对个人和家庭的补助支出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四、资本性支出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31002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办公设备购置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31003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专用设备购置</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31007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信息网络及软件购置更新</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31099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其他资本性支出</w:t>
            </w:r>
          </w:p>
        </w:tc>
        <w:tc>
          <w:tcPr>
            <w:tcW w:w="252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w:t>
            </w:r>
          </w:p>
        </w:tc>
        <w:tc>
          <w:tcPr>
            <w:tcW w:w="2700" w:type="dxa"/>
            <w:tcBorders>
              <w:top w:val="nil"/>
              <w:left w:val="nil"/>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w:t>
            </w:r>
          </w:p>
        </w:tc>
        <w:tc>
          <w:tcPr>
            <w:tcW w:w="234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w:t>
            </w:r>
          </w:p>
        </w:tc>
      </w:tr>
    </w:tbl>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p>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p>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p>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p>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p>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p>
    <w:p>
      <w:pPr>
        <w:widowControl/>
        <w:outlineLvl w:val="1"/>
        <w:rPr>
          <w:rFonts w:ascii="黑体" w:hAnsi="宋体" w:eastAsia="黑体"/>
          <w:b/>
          <w:color w:val="000000" w:themeColor="text1"/>
          <w:kern w:val="0"/>
          <w:sz w:val="32"/>
          <w:szCs w:val="32"/>
          <w14:textFill>
            <w14:solidFill>
              <w14:schemeClr w14:val="tx1"/>
            </w14:solidFill>
          </w14:textFill>
        </w:rPr>
      </w:pPr>
    </w:p>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p>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p>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p>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r>
        <w:rPr>
          <w:rFonts w:hint="eastAsia" w:ascii="黑体" w:hAnsi="宋体" w:eastAsia="黑体"/>
          <w:b/>
          <w:color w:val="000000" w:themeColor="text1"/>
          <w:kern w:val="0"/>
          <w:sz w:val="32"/>
          <w:szCs w:val="32"/>
          <w14:textFill>
            <w14:solidFill>
              <w14:schemeClr w14:val="tx1"/>
            </w14:solidFill>
          </w14:textFill>
        </w:rPr>
        <w:t>四、一般公共预算财政拨款“三公”经费支出预算表</w:t>
      </w:r>
    </w:p>
    <w:p>
      <w:pPr>
        <w:widowControl/>
        <w:ind w:firstLine="723" w:firstLineChars="200"/>
        <w:jc w:val="center"/>
        <w:outlineLvl w:val="1"/>
        <w:rPr>
          <w:rFonts w:ascii="仿宋_GB2312" w:hAnsi="宋体" w:eastAsia="仿宋_GB2312"/>
          <w:b/>
          <w:color w:val="000000" w:themeColor="text1"/>
          <w:kern w:val="0"/>
          <w:sz w:val="36"/>
          <w:szCs w:val="36"/>
          <w14:textFill>
            <w14:solidFill>
              <w14:schemeClr w14:val="tx1"/>
            </w14:solidFill>
          </w14:textFill>
        </w:rPr>
      </w:pPr>
      <w:r>
        <w:rPr>
          <w:rFonts w:hint="eastAsia" w:ascii="仿宋_GB2312" w:hAnsi="宋体" w:eastAsia="仿宋_GB2312"/>
          <w:b/>
          <w:color w:val="000000" w:themeColor="text1"/>
          <w:kern w:val="0"/>
          <w:sz w:val="36"/>
          <w:szCs w:val="36"/>
          <w14:textFill>
            <w14:solidFill>
              <w14:schemeClr w14:val="tx1"/>
            </w14:solidFill>
          </w14:textFill>
        </w:rPr>
        <w:t>一般公共预算财政拨款“三公”经费支出预算表</w:t>
      </w:r>
    </w:p>
    <w:p>
      <w:pPr>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 xml:space="preserve">                                                                            单位：万元</w:t>
      </w:r>
    </w:p>
    <w:tbl>
      <w:tblPr>
        <w:tblStyle w:val="5"/>
        <w:tblW w:w="13878" w:type="dxa"/>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Layout w:type="fixed"/>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2020年预算数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2020年执行数（决算数）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2021年预算数</w:t>
            </w:r>
          </w:p>
        </w:tc>
      </w:tr>
      <w:tr>
        <w:tblPrEx>
          <w:tblLayout w:type="fixed"/>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公务接待费</w:t>
            </w:r>
          </w:p>
        </w:tc>
      </w:tr>
      <w:tr>
        <w:tblPrEx>
          <w:tblLayout w:type="fixed"/>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0</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0</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0</w:t>
            </w:r>
          </w:p>
        </w:tc>
      </w:tr>
    </w:tbl>
    <w:p>
      <w:pPr>
        <w:widowControl/>
        <w:ind w:firstLine="630" w:firstLineChars="196"/>
        <w:outlineLvl w:val="1"/>
        <w:rPr>
          <w:rFonts w:ascii="黑体" w:hAnsi="宋体" w:eastAsia="黑体"/>
          <w:b/>
          <w:color w:val="000000" w:themeColor="text1"/>
          <w:kern w:val="0"/>
          <w:sz w:val="32"/>
          <w:szCs w:val="32"/>
          <w14:textFill>
            <w14:solidFill>
              <w14:schemeClr w14:val="tx1"/>
            </w14:solidFill>
          </w14:textFill>
        </w:rPr>
      </w:pPr>
    </w:p>
    <w:p>
      <w:pPr>
        <w:widowControl/>
        <w:ind w:firstLine="630" w:firstLineChars="196"/>
        <w:outlineLvl w:val="1"/>
        <w:rPr>
          <w:rFonts w:ascii="黑体" w:hAnsi="宋体" w:eastAsia="黑体"/>
          <w:b/>
          <w:color w:val="000000" w:themeColor="text1"/>
          <w:kern w:val="0"/>
          <w:sz w:val="32"/>
          <w:szCs w:val="32"/>
          <w14:textFill>
            <w14:solidFill>
              <w14:schemeClr w14:val="tx1"/>
            </w14:solidFill>
          </w14:textFill>
        </w:rPr>
      </w:pPr>
    </w:p>
    <w:p>
      <w:pPr>
        <w:widowControl/>
        <w:ind w:firstLine="630" w:firstLineChars="196"/>
        <w:outlineLvl w:val="1"/>
        <w:rPr>
          <w:rFonts w:ascii="黑体" w:hAnsi="宋体" w:eastAsia="黑体"/>
          <w:b/>
          <w:color w:val="000000" w:themeColor="text1"/>
          <w:kern w:val="0"/>
          <w:sz w:val="32"/>
          <w:szCs w:val="32"/>
          <w14:textFill>
            <w14:solidFill>
              <w14:schemeClr w14:val="tx1"/>
            </w14:solidFill>
          </w14:textFill>
        </w:rPr>
      </w:pPr>
    </w:p>
    <w:p>
      <w:pPr>
        <w:widowControl/>
        <w:ind w:firstLine="630" w:firstLineChars="196"/>
        <w:outlineLvl w:val="1"/>
        <w:rPr>
          <w:rFonts w:ascii="黑体" w:hAnsi="宋体" w:eastAsia="黑体"/>
          <w:b/>
          <w:color w:val="000000" w:themeColor="text1"/>
          <w:kern w:val="0"/>
          <w:sz w:val="32"/>
          <w:szCs w:val="32"/>
          <w14:textFill>
            <w14:solidFill>
              <w14:schemeClr w14:val="tx1"/>
            </w14:solidFill>
          </w14:textFill>
        </w:rPr>
      </w:pPr>
    </w:p>
    <w:p>
      <w:pPr>
        <w:widowControl/>
        <w:ind w:firstLine="630" w:firstLineChars="196"/>
        <w:outlineLvl w:val="1"/>
        <w:rPr>
          <w:rFonts w:ascii="黑体" w:hAnsi="宋体" w:eastAsia="黑体"/>
          <w:b/>
          <w:color w:val="000000" w:themeColor="text1"/>
          <w:kern w:val="0"/>
          <w:sz w:val="32"/>
          <w:szCs w:val="32"/>
          <w14:textFill>
            <w14:solidFill>
              <w14:schemeClr w14:val="tx1"/>
            </w14:solidFill>
          </w14:textFill>
        </w:rPr>
      </w:pPr>
      <w:r>
        <w:rPr>
          <w:rFonts w:hint="eastAsia" w:ascii="黑体" w:hAnsi="宋体" w:eastAsia="黑体"/>
          <w:b/>
          <w:color w:val="000000" w:themeColor="text1"/>
          <w:kern w:val="0"/>
          <w:sz w:val="32"/>
          <w:szCs w:val="32"/>
          <w14:textFill>
            <w14:solidFill>
              <w14:schemeClr w14:val="tx1"/>
            </w14:solidFill>
          </w14:textFill>
        </w:rPr>
        <w:t>五、政府性基金预算财政拨款支出预算表</w:t>
      </w:r>
    </w:p>
    <w:p>
      <w:pPr>
        <w:widowControl/>
        <w:ind w:firstLine="723" w:firstLineChars="200"/>
        <w:jc w:val="center"/>
        <w:outlineLvl w:val="1"/>
        <w:rPr>
          <w:rFonts w:ascii="仿宋_GB2312" w:hAnsi="宋体" w:eastAsia="仿宋_GB2312"/>
          <w:b/>
          <w:color w:val="000000" w:themeColor="text1"/>
          <w:kern w:val="0"/>
          <w:sz w:val="36"/>
          <w:szCs w:val="36"/>
          <w14:textFill>
            <w14:solidFill>
              <w14:schemeClr w14:val="tx1"/>
            </w14:solidFill>
          </w14:textFill>
        </w:rPr>
      </w:pPr>
      <w:r>
        <w:rPr>
          <w:rFonts w:hint="eastAsia" w:ascii="仿宋_GB2312" w:hAnsi="宋体" w:eastAsia="仿宋_GB2312"/>
          <w:b/>
          <w:color w:val="000000" w:themeColor="text1"/>
          <w:kern w:val="0"/>
          <w:sz w:val="36"/>
          <w:szCs w:val="36"/>
          <w14:textFill>
            <w14:solidFill>
              <w14:schemeClr w14:val="tx1"/>
            </w14:solidFill>
          </w14:textFill>
        </w:rPr>
        <w:t>政府性基金预算财政拨款支出预算表</w:t>
      </w:r>
    </w:p>
    <w:p>
      <w:pPr>
        <w:widowControl/>
        <w:ind w:firstLine="723" w:firstLineChars="200"/>
        <w:jc w:val="center"/>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6"/>
          <w:szCs w:val="36"/>
          <w14:textFill>
            <w14:solidFill>
              <w14:schemeClr w14:val="tx1"/>
            </w14:solidFill>
          </w14:textFill>
        </w:rPr>
        <w:t xml:space="preserve">                                                                </w:t>
      </w:r>
      <w:r>
        <w:rPr>
          <w:rFonts w:hint="eastAsia" w:ascii="仿宋_GB2312" w:hAnsi="宋体" w:eastAsia="仿宋_GB2312"/>
          <w:color w:val="000000" w:themeColor="text1"/>
          <w:kern w:val="0"/>
          <w:sz w:val="32"/>
          <w:szCs w:val="32"/>
          <w14:textFill>
            <w14:solidFill>
              <w14:schemeClr w14:val="tx1"/>
            </w14:solidFill>
          </w14:textFill>
        </w:rPr>
        <w:t>单位：万元</w:t>
      </w:r>
    </w:p>
    <w:tbl>
      <w:tblPr>
        <w:tblStyle w:val="5"/>
        <w:tblW w:w="14180" w:type="dxa"/>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Layout w:type="fixed"/>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功能分类科目</w:t>
            </w:r>
          </w:p>
        </w:tc>
        <w:tc>
          <w:tcPr>
            <w:tcW w:w="1418" w:type="dxa"/>
            <w:vMerge w:val="restart"/>
            <w:tcBorders>
              <w:top w:val="single" w:color="auto" w:sz="4" w:space="0"/>
              <w:left w:val="nil"/>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2020年执行数（决算数）</w:t>
            </w:r>
          </w:p>
          <w:p>
            <w:pPr>
              <w:jc w:val="center"/>
              <w:rPr>
                <w:rFonts w:ascii="宋体" w:hAnsi="宋体" w:cs="宋体"/>
                <w:b/>
                <w:bCs/>
                <w:color w:val="000000" w:themeColor="text1"/>
                <w:kern w:val="0"/>
                <w:sz w:val="22"/>
                <w:szCs w:val="22"/>
                <w14:textFill>
                  <w14:solidFill>
                    <w14:schemeClr w14:val="tx1"/>
                  </w14:solidFill>
                </w14:textFill>
              </w:rPr>
            </w:pPr>
          </w:p>
        </w:tc>
        <w:tc>
          <w:tcPr>
            <w:tcW w:w="709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2021年预算数</w:t>
            </w:r>
          </w:p>
        </w:tc>
        <w:tc>
          <w:tcPr>
            <w:tcW w:w="2836" w:type="dxa"/>
            <w:gridSpan w:val="2"/>
            <w:tcBorders>
              <w:top w:val="single" w:color="auto" w:sz="4" w:space="0"/>
              <w:bottom w:val="single" w:color="auto" w:sz="4" w:space="0"/>
              <w:right w:val="single" w:color="auto" w:sz="4" w:space="0"/>
            </w:tcBorders>
            <w:vAlign w:val="center"/>
          </w:tcPr>
          <w:p>
            <w:pPr>
              <w:widowControl/>
              <w:jc w:val="center"/>
              <w:rPr>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2021年预算数与2020年执行数（决算数）</w:t>
            </w:r>
          </w:p>
        </w:tc>
      </w:tr>
      <w:tr>
        <w:tblPrEx>
          <w:tblLayout w:type="fixed"/>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科目编码</w:t>
            </w:r>
          </w:p>
        </w:tc>
        <w:tc>
          <w:tcPr>
            <w:tcW w:w="1418" w:type="dxa"/>
            <w:vMerge w:val="restart"/>
            <w:tcBorders>
              <w:top w:val="nil"/>
              <w:left w:val="nil"/>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科目名称</w:t>
            </w:r>
          </w:p>
        </w:tc>
        <w:tc>
          <w:tcPr>
            <w:tcW w:w="1418" w:type="dxa"/>
            <w:vMerge w:val="continue"/>
            <w:tcBorders>
              <w:left w:val="nil"/>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c>
          <w:tcPr>
            <w:tcW w:w="1418" w:type="dxa"/>
            <w:vMerge w:val="restart"/>
            <w:tcBorders>
              <w:top w:val="nil"/>
              <w:left w:val="nil"/>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合计</w:t>
            </w:r>
          </w:p>
        </w:tc>
        <w:tc>
          <w:tcPr>
            <w:tcW w:w="4254"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基本支出</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项目支出</w:t>
            </w:r>
          </w:p>
        </w:tc>
        <w:tc>
          <w:tcPr>
            <w:tcW w:w="1418" w:type="dxa"/>
            <w:vMerge w:val="restart"/>
            <w:tcBorders>
              <w:top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增减额</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增减%</w:t>
            </w:r>
          </w:p>
        </w:tc>
      </w:tr>
      <w:tr>
        <w:tblPrEx>
          <w:tblLayout w:type="fixed"/>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小计</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人员经费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日常公用经费</w:t>
            </w: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c>
          <w:tcPr>
            <w:tcW w:w="1418" w:type="dxa"/>
            <w:vMerge w:val="continue"/>
            <w:tcBorders>
              <w:bottom w:val="single" w:color="auto" w:sz="4" w:space="0"/>
              <w:right w:val="single" w:color="auto" w:sz="4" w:space="0"/>
            </w:tcBorders>
            <w:vAlign w:val="center"/>
          </w:tcPr>
          <w:p>
            <w:pPr>
              <w:widowControl/>
              <w:rPr>
                <w:rFonts w:ascii="宋体" w:hAnsi="宋体" w:cs="宋体"/>
                <w:b/>
                <w:bCs/>
                <w:color w:val="000000" w:themeColor="text1"/>
                <w:kern w:val="0"/>
                <w:sz w:val="22"/>
                <w:szCs w:val="22"/>
                <w14:textFill>
                  <w14:solidFill>
                    <w14:schemeClr w14:val="tx1"/>
                  </w14:solidFill>
                </w14:textFill>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2340299</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新冠病毒抗疫经费</w:t>
            </w:r>
          </w:p>
        </w:tc>
        <w:tc>
          <w:tcPr>
            <w:tcW w:w="1418" w:type="dxa"/>
            <w:tcBorders>
              <w:top w:val="nil"/>
              <w:left w:val="nil"/>
              <w:bottom w:val="single" w:color="auto" w:sz="4" w:space="0"/>
              <w:right w:val="single" w:color="auto" w:sz="4" w:space="0"/>
            </w:tcBorders>
            <w:vAlign w:val="center"/>
          </w:tcPr>
          <w:p>
            <w:pPr>
              <w:widowControl/>
              <w:ind w:right="200"/>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33.58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0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418" w:type="dxa"/>
            <w:tcBorders>
              <w:bottom w:val="single" w:color="auto" w:sz="4" w:space="0"/>
              <w:right w:val="single" w:color="auto" w:sz="4" w:space="0"/>
            </w:tcBorders>
          </w:tcPr>
          <w:p>
            <w:pPr>
              <w:widowControl/>
              <w:jc w:val="left"/>
              <w:rPr>
                <w:color w:val="000000" w:themeColor="text1"/>
                <w:kern w:val="0"/>
                <w:sz w:val="20"/>
                <w:szCs w:val="20"/>
                <w14:textFill>
                  <w14:solidFill>
                    <w14:schemeClr w14:val="tx1"/>
                  </w14:solidFill>
                </w14:textFill>
              </w:rPr>
            </w:pPr>
          </w:p>
        </w:tc>
        <w:tc>
          <w:tcPr>
            <w:tcW w:w="1418" w:type="dxa"/>
            <w:tcBorders>
              <w:top w:val="single" w:color="auto" w:sz="4" w:space="0"/>
              <w:bottom w:val="single" w:color="auto" w:sz="4" w:space="0"/>
              <w:right w:val="single" w:color="auto" w:sz="4" w:space="0"/>
            </w:tcBorders>
          </w:tcPr>
          <w:p>
            <w:pPr>
              <w:widowControl/>
              <w:jc w:val="left"/>
              <w:rPr>
                <w:color w:val="000000" w:themeColor="text1"/>
                <w:kern w:val="0"/>
                <w:sz w:val="20"/>
                <w:szCs w:val="20"/>
                <w14:textFill>
                  <w14:solidFill>
                    <w14:schemeClr w14:val="tx1"/>
                  </w14:solidFill>
                </w14:textFill>
              </w:rPr>
            </w:pPr>
          </w:p>
        </w:tc>
      </w:tr>
    </w:tbl>
    <w:p>
      <w:pPr>
        <w:widowControl/>
        <w:ind w:firstLine="643" w:firstLineChars="200"/>
        <w:outlineLvl w:val="1"/>
        <w:rPr>
          <w:rFonts w:ascii="黑体" w:hAnsi="宋体" w:eastAsia="黑体"/>
          <w:b/>
          <w:color w:val="000000" w:themeColor="text1"/>
          <w:kern w:val="0"/>
          <w:sz w:val="32"/>
          <w:szCs w:val="32"/>
          <w14:textFill>
            <w14:solidFill>
              <w14:schemeClr w14:val="tx1"/>
            </w14:solidFill>
          </w14:textFill>
        </w:rPr>
      </w:pPr>
      <w:r>
        <w:rPr>
          <w:rFonts w:hint="eastAsia" w:ascii="黑体" w:hAnsi="宋体" w:eastAsia="黑体"/>
          <w:b/>
          <w:color w:val="000000" w:themeColor="text1"/>
          <w:kern w:val="0"/>
          <w:sz w:val="32"/>
          <w:szCs w:val="32"/>
          <w14:textFill>
            <w14:solidFill>
              <w14:schemeClr w14:val="tx1"/>
            </w14:solidFill>
          </w14:textFill>
        </w:rPr>
        <w:t>六、部门收支预算总表</w:t>
      </w:r>
    </w:p>
    <w:p>
      <w:pPr>
        <w:widowControl/>
        <w:jc w:val="center"/>
        <w:outlineLvl w:val="1"/>
        <w:rPr>
          <w:rFonts w:ascii="仿宋_GB2312" w:hAnsi="宋体" w:eastAsia="仿宋_GB2312"/>
          <w:b/>
          <w:color w:val="000000" w:themeColor="text1"/>
          <w:kern w:val="0"/>
          <w:sz w:val="36"/>
          <w:szCs w:val="36"/>
          <w14:textFill>
            <w14:solidFill>
              <w14:schemeClr w14:val="tx1"/>
            </w14:solidFill>
          </w14:textFill>
        </w:rPr>
      </w:pPr>
      <w:r>
        <w:rPr>
          <w:rFonts w:hint="eastAsia" w:ascii="仿宋_GB2312" w:hAnsi="宋体" w:eastAsia="仿宋_GB2312"/>
          <w:b/>
          <w:color w:val="000000" w:themeColor="text1"/>
          <w:kern w:val="0"/>
          <w:sz w:val="36"/>
          <w:szCs w:val="36"/>
          <w14:textFill>
            <w14:solidFill>
              <w14:schemeClr w14:val="tx1"/>
            </w14:solidFill>
          </w14:textFill>
        </w:rPr>
        <w:t>部门收支预算总表</w:t>
      </w:r>
    </w:p>
    <w:p>
      <w:pPr>
        <w:widowControl/>
        <w:jc w:val="right"/>
        <w:outlineLvl w:val="1"/>
        <w:rPr>
          <w:rFonts w:ascii="仿宋_GB2312" w:hAnsi="宋体" w:eastAsia="仿宋_GB2312"/>
          <w:b/>
          <w:color w:val="000000" w:themeColor="text1"/>
          <w:kern w:val="0"/>
          <w:sz w:val="36"/>
          <w:szCs w:val="36"/>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 xml:space="preserve">     单位：万元</w:t>
      </w:r>
    </w:p>
    <w:tbl>
      <w:tblPr>
        <w:tblStyle w:val="5"/>
        <w:tblW w:w="13857" w:type="dxa"/>
        <w:tblInd w:w="93" w:type="dxa"/>
        <w:tblLayout w:type="fixed"/>
        <w:tblCellMar>
          <w:top w:w="15" w:type="dxa"/>
          <w:left w:w="108" w:type="dxa"/>
          <w:bottom w:w="15" w:type="dxa"/>
          <w:right w:w="108" w:type="dxa"/>
        </w:tblCellMar>
      </w:tblPr>
      <w:tblGrid>
        <w:gridCol w:w="5235"/>
        <w:gridCol w:w="1800"/>
        <w:gridCol w:w="5022"/>
        <w:gridCol w:w="1800"/>
      </w:tblGrid>
      <w:tr>
        <w:tblPrEx>
          <w:tblLayout w:type="fixed"/>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收     入</w:t>
            </w:r>
          </w:p>
        </w:tc>
        <w:tc>
          <w:tcPr>
            <w:tcW w:w="6822"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支     出</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预算数</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1707.46</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一、行政支出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1707.46</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b/>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1707.46</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1707.46</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1707.46</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1707.46</w:t>
            </w: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2"/>
                <w:szCs w:val="22"/>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1707.46</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1707.46</w:t>
            </w:r>
          </w:p>
        </w:tc>
      </w:tr>
    </w:tbl>
    <w:p>
      <w:pPr>
        <w:widowControl/>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 xml:space="preserve">                                                            </w:t>
      </w:r>
    </w:p>
    <w:p>
      <w:pPr>
        <w:widowControl/>
        <w:jc w:val="left"/>
        <w:outlineLvl w:val="1"/>
        <w:rPr>
          <w:rFonts w:ascii="仿宋_GB2312" w:hAnsi="宋体" w:eastAsia="仿宋_GB2312"/>
          <w:color w:val="000000" w:themeColor="text1"/>
          <w:kern w:val="0"/>
          <w:sz w:val="32"/>
          <w:szCs w:val="32"/>
          <w14:textFill>
            <w14:solidFill>
              <w14:schemeClr w14:val="tx1"/>
            </w14:solidFill>
          </w14:textFill>
        </w:rPr>
      </w:pPr>
    </w:p>
    <w:p>
      <w:pPr>
        <w:widowControl/>
        <w:ind w:firstLine="643" w:firstLineChars="200"/>
        <w:jc w:val="left"/>
        <w:outlineLvl w:val="1"/>
        <w:rPr>
          <w:rFonts w:ascii="黑体" w:hAnsi="宋体" w:eastAsia="黑体"/>
          <w:b/>
          <w:bCs/>
          <w:color w:val="000000" w:themeColor="text1"/>
          <w:kern w:val="0"/>
          <w:sz w:val="32"/>
          <w:szCs w:val="32"/>
          <w14:textFill>
            <w14:solidFill>
              <w14:schemeClr w14:val="tx1"/>
            </w14:solidFill>
          </w14:textFill>
        </w:rPr>
      </w:pPr>
      <w:r>
        <w:rPr>
          <w:rFonts w:hint="eastAsia" w:ascii="黑体" w:hAnsi="宋体" w:eastAsia="黑体"/>
          <w:b/>
          <w:bCs/>
          <w:color w:val="000000" w:themeColor="text1"/>
          <w:kern w:val="0"/>
          <w:sz w:val="32"/>
          <w:szCs w:val="32"/>
          <w14:textFill>
            <w14:solidFill>
              <w14:schemeClr w14:val="tx1"/>
            </w14:solidFill>
          </w14:textFill>
        </w:rPr>
        <w:t>七、部门收入预算表</w:t>
      </w:r>
    </w:p>
    <w:p>
      <w:pPr>
        <w:widowControl/>
        <w:jc w:val="center"/>
        <w:outlineLvl w:val="1"/>
        <w:rPr>
          <w:rFonts w:ascii="仿宋_GB2312" w:hAnsi="宋体" w:eastAsia="仿宋_GB2312"/>
          <w:b/>
          <w:bCs/>
          <w:color w:val="000000" w:themeColor="text1"/>
          <w:kern w:val="0"/>
          <w:sz w:val="36"/>
          <w:szCs w:val="36"/>
          <w14:textFill>
            <w14:solidFill>
              <w14:schemeClr w14:val="tx1"/>
            </w14:solidFill>
          </w14:textFill>
        </w:rPr>
      </w:pPr>
      <w:r>
        <w:rPr>
          <w:rFonts w:hint="eastAsia" w:ascii="仿宋_GB2312" w:hAnsi="宋体" w:eastAsia="仿宋_GB2312"/>
          <w:b/>
          <w:bCs/>
          <w:color w:val="000000" w:themeColor="text1"/>
          <w:kern w:val="0"/>
          <w:sz w:val="36"/>
          <w:szCs w:val="36"/>
          <w14:textFill>
            <w14:solidFill>
              <w14:schemeClr w14:val="tx1"/>
            </w14:solidFill>
          </w14:textFill>
        </w:rPr>
        <w:t>部门收入预算表</w:t>
      </w:r>
    </w:p>
    <w:p>
      <w:pPr>
        <w:widowControl/>
        <w:jc w:val="left"/>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 xml:space="preserve">                                                                         单位：万元</w:t>
      </w:r>
    </w:p>
    <w:tbl>
      <w:tblPr>
        <w:tblStyle w:val="5"/>
        <w:tblW w:w="13890" w:type="dxa"/>
        <w:tblInd w:w="93" w:type="dxa"/>
        <w:tblLayout w:type="fixed"/>
        <w:tblCellMar>
          <w:top w:w="15" w:type="dxa"/>
          <w:left w:w="108" w:type="dxa"/>
          <w:bottom w:w="15" w:type="dxa"/>
          <w:right w:w="108"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tblPrEx>
          <w:tblLayout w:type="fixed"/>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其他预算收入</w:t>
            </w:r>
          </w:p>
        </w:tc>
      </w:tr>
      <w:tr>
        <w:tblPrEx>
          <w:tblLayout w:type="fixed"/>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小计</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小计</w:t>
            </w:r>
          </w:p>
        </w:tc>
        <w:tc>
          <w:tcPr>
            <w:tcW w:w="860" w:type="dxa"/>
            <w:tcBorders>
              <w:top w:val="single" w:color="000000" w:sz="4" w:space="0"/>
              <w:bottom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其中：</w:t>
            </w:r>
          </w:p>
        </w:tc>
        <w:tc>
          <w:tcPr>
            <w:tcW w:w="839" w:type="dxa"/>
            <w:tcBorders>
              <w:top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小计</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1707.46</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1707.46</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1707.46</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14:textFill>
                  <w14:solidFill>
                    <w14:schemeClr w14:val="tx1"/>
                  </w14:solidFill>
                </w14:textFill>
              </w:rPr>
            </w:pPr>
          </w:p>
        </w:tc>
      </w:tr>
    </w:tbl>
    <w:p>
      <w:pPr>
        <w:widowControl/>
        <w:ind w:firstLine="630" w:firstLineChars="196"/>
        <w:jc w:val="left"/>
        <w:outlineLvl w:val="1"/>
        <w:rPr>
          <w:rFonts w:ascii="黑体" w:hAnsi="宋体" w:eastAsia="黑体"/>
          <w:b/>
          <w:bCs/>
          <w:color w:val="000000" w:themeColor="text1"/>
          <w:kern w:val="0"/>
          <w:sz w:val="32"/>
          <w:szCs w:val="32"/>
          <w14:textFill>
            <w14:solidFill>
              <w14:schemeClr w14:val="tx1"/>
            </w14:solidFill>
          </w14:textFill>
        </w:rPr>
      </w:pPr>
      <w:r>
        <w:rPr>
          <w:rFonts w:hint="eastAsia" w:ascii="黑体" w:hAnsi="宋体" w:eastAsia="黑体"/>
          <w:b/>
          <w:bCs/>
          <w:color w:val="000000" w:themeColor="text1"/>
          <w:kern w:val="0"/>
          <w:sz w:val="32"/>
          <w:szCs w:val="32"/>
          <w14:textFill>
            <w14:solidFill>
              <w14:schemeClr w14:val="tx1"/>
            </w14:solidFill>
          </w14:textFill>
        </w:rPr>
        <w:t>八、部门支出预算表</w:t>
      </w:r>
    </w:p>
    <w:p>
      <w:pPr>
        <w:widowControl/>
        <w:jc w:val="center"/>
        <w:outlineLvl w:val="1"/>
        <w:rPr>
          <w:rFonts w:ascii="仿宋_GB2312" w:hAnsi="宋体" w:eastAsia="仿宋_GB2312"/>
          <w:b/>
          <w:bCs/>
          <w:color w:val="000000" w:themeColor="text1"/>
          <w:kern w:val="0"/>
          <w:sz w:val="36"/>
          <w:szCs w:val="36"/>
          <w14:textFill>
            <w14:solidFill>
              <w14:schemeClr w14:val="tx1"/>
            </w14:solidFill>
          </w14:textFill>
        </w:rPr>
      </w:pPr>
      <w:r>
        <w:rPr>
          <w:rFonts w:hint="eastAsia" w:ascii="仿宋_GB2312" w:hAnsi="宋体" w:eastAsia="仿宋_GB2312"/>
          <w:b/>
          <w:bCs/>
          <w:color w:val="000000" w:themeColor="text1"/>
          <w:kern w:val="0"/>
          <w:sz w:val="36"/>
          <w:szCs w:val="36"/>
          <w14:textFill>
            <w14:solidFill>
              <w14:schemeClr w14:val="tx1"/>
            </w14:solidFill>
          </w14:textFill>
        </w:rPr>
        <w:t>部门支出预算表</w:t>
      </w:r>
    </w:p>
    <w:p>
      <w:pPr>
        <w:rPr>
          <w:color w:val="000000" w:themeColor="text1"/>
          <w:szCs w:val="21"/>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 xml:space="preserve">                                                                           单位：万元</w:t>
      </w:r>
    </w:p>
    <w:tbl>
      <w:tblPr>
        <w:tblStyle w:val="5"/>
        <w:tblW w:w="13833" w:type="dxa"/>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Layout w:type="fixed"/>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科目编码</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本年支出合计</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行政支出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事业支出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经营支出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上缴上级支出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对附属单位补助支出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投资支出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债务还本支出</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其他支出</w:t>
            </w: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2010301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965.29</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965.29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18"/>
                <w:szCs w:val="18"/>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18"/>
                <w:szCs w:val="18"/>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18"/>
                <w:szCs w:val="18"/>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18"/>
                <w:szCs w:val="18"/>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18"/>
                <w:szCs w:val="18"/>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18"/>
                <w:szCs w:val="18"/>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themeColor="text1"/>
                <w:kern w:val="0"/>
                <w:sz w:val="18"/>
                <w:szCs w:val="18"/>
                <w14:textFill>
                  <w14:solidFill>
                    <w14:schemeClr w14:val="tx1"/>
                  </w14:solidFill>
                </w14:textFill>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2080501</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22.19</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22.19</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2080505</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40.64</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40.64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2080506</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19.72</w:t>
            </w:r>
          </w:p>
        </w:tc>
        <w:tc>
          <w:tcPr>
            <w:tcW w:w="1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19.72</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2101101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22.51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22.51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2101103</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11.94</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11.94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2210201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30.74</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30.74</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2130122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469.21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469.21</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r>
      <w:tr>
        <w:tblPrEx>
          <w:tblLayout w:type="fixed"/>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2010302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125.22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125.22</w:t>
            </w: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Calibri" w:hAnsi="Calibri" w:cs="宋体"/>
                <w:color w:val="000000" w:themeColor="text1"/>
                <w:kern w:val="0"/>
                <w:sz w:val="22"/>
                <w:szCs w:val="22"/>
                <w14:textFill>
                  <w14:solidFill>
                    <w14:schemeClr w14:val="tx1"/>
                  </w14:solidFill>
                </w14:textFill>
              </w:rPr>
            </w:pPr>
          </w:p>
        </w:tc>
      </w:tr>
    </w:tbl>
    <w:p>
      <w:pPr>
        <w:rPr>
          <w:color w:val="000000" w:themeColor="text1"/>
          <w14:textFill>
            <w14:solidFill>
              <w14:schemeClr w14:val="tx1"/>
            </w14:solidFill>
          </w14:textFill>
        </w:rPr>
        <w:sectPr>
          <w:pgSz w:w="16838" w:h="11906" w:orient="landscape"/>
          <w:pgMar w:top="1701" w:right="1440" w:bottom="1701" w:left="1440" w:header="851" w:footer="992" w:gutter="0"/>
          <w:cols w:space="720" w:num="1"/>
          <w:docGrid w:type="linesAndChar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1"/>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宁夏银川市金凤区良田镇人民政府</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1"/>
        <w:rPr>
          <w:rFonts w:ascii="仿宋_GB2312" w:hAnsi="宋体" w:eastAsia="仿宋_GB2312"/>
          <w:b/>
          <w:bCs/>
          <w:color w:val="000000" w:themeColor="text1"/>
          <w:kern w:val="0"/>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2021年部门预算——部门预算情况说明</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1"/>
        <w:rPr>
          <w:rFonts w:ascii="仿宋_GB2312" w:hAnsi="宋体" w:eastAsia="仿宋_GB2312"/>
          <w:b/>
          <w:bCs/>
          <w:color w:val="000000" w:themeColor="text1"/>
          <w:kern w:val="0"/>
          <w:sz w:val="36"/>
          <w:szCs w:val="36"/>
          <w14:textFill>
            <w14:solidFill>
              <w14:schemeClr w14:val="tx1"/>
            </w14:solidFill>
          </w14:textFill>
        </w:rPr>
      </w:pPr>
      <w:r>
        <w:rPr>
          <w:rFonts w:hint="eastAsia" w:ascii="仿宋_GB2312" w:hAnsi="宋体" w:eastAsia="仿宋_GB2312"/>
          <w:b/>
          <w:bCs/>
          <w:color w:val="000000" w:themeColor="text1"/>
          <w:kern w:val="0"/>
          <w:sz w:val="36"/>
          <w:szCs w:val="36"/>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jc w:val="left"/>
        <w:textAlignment w:val="auto"/>
        <w:rPr>
          <w:rFonts w:ascii="黑体" w:eastAsia="黑体" w:cs="宋体"/>
          <w:b/>
          <w:bCs/>
          <w:color w:val="000000" w:themeColor="text1"/>
          <w:kern w:val="0"/>
          <w:sz w:val="32"/>
          <w:szCs w:val="32"/>
          <w14:textFill>
            <w14:solidFill>
              <w14:schemeClr w14:val="tx1"/>
            </w14:solidFill>
          </w14:textFill>
        </w:rPr>
      </w:pPr>
      <w:r>
        <w:rPr>
          <w:rFonts w:hint="eastAsia" w:ascii="黑体" w:eastAsia="黑体" w:cs="宋体"/>
          <w:b w:val="0"/>
          <w:bCs w:val="0"/>
          <w:color w:val="000000" w:themeColor="text1"/>
          <w:kern w:val="0"/>
          <w:sz w:val="32"/>
          <w:szCs w:val="32"/>
          <w14:textFill>
            <w14:solidFill>
              <w14:schemeClr w14:val="tx1"/>
            </w14:solidFill>
          </w14:textFill>
        </w:rPr>
        <w:t>一、关于金凤区良田镇人民政府2021年财政拨款收支预算情况的总体说明</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 金凤区良田镇人民政府2021年财政拨款收入预算    1707.46万元，其中：本年收入1707.46万元，包括一般公共预算拨款1707.46万元，政府性基金预算拨款0 万元；上年结转结余0万元。支出预算1707.46万元，包括：一般公共服务支出1090.5万元、社会保障和就业支出82.55万元、卫生健康支出34.46万元、住房保障支出30.74万元、农林水支出469.21万元。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黑体" w:hAnsi="宋体" w:eastAsia="黑体" w:cs="宋体"/>
          <w:b w:val="0"/>
          <w:bCs w:val="0"/>
          <w:color w:val="000000" w:themeColor="text1"/>
          <w:kern w:val="0"/>
          <w:sz w:val="32"/>
          <w:szCs w:val="32"/>
          <w14:textFill>
            <w14:solidFill>
              <w14:schemeClr w14:val="tx1"/>
            </w14:solidFill>
          </w14:textFill>
        </w:rPr>
      </w:pPr>
      <w:r>
        <w:rPr>
          <w:rFonts w:hint="eastAsia" w:ascii="黑体" w:hAnsi="宋体" w:eastAsia="黑体" w:cs="宋体"/>
          <w:b w:val="0"/>
          <w:bCs w:val="0"/>
          <w:color w:val="000000" w:themeColor="text1"/>
          <w:kern w:val="0"/>
          <w:sz w:val="32"/>
          <w:szCs w:val="32"/>
          <w14:textFill>
            <w14:solidFill>
              <w14:schemeClr w14:val="tx1"/>
            </w14:solidFill>
          </w14:textFill>
        </w:rPr>
        <w:t>二、关于</w:t>
      </w:r>
      <w:r>
        <w:rPr>
          <w:rFonts w:hint="eastAsia" w:ascii="黑体" w:eastAsia="黑体" w:cs="宋体"/>
          <w:b w:val="0"/>
          <w:bCs w:val="0"/>
          <w:color w:val="000000" w:themeColor="text1"/>
          <w:kern w:val="0"/>
          <w:sz w:val="32"/>
          <w:szCs w:val="32"/>
          <w14:textFill>
            <w14:solidFill>
              <w14:schemeClr w14:val="tx1"/>
            </w14:solidFill>
          </w14:textFill>
        </w:rPr>
        <w:t>金凤区良田镇人民政府</w:t>
      </w:r>
      <w:r>
        <w:rPr>
          <w:rFonts w:hint="eastAsia" w:ascii="黑体" w:hAnsi="宋体" w:eastAsia="黑体" w:cs="宋体"/>
          <w:b w:val="0"/>
          <w:bCs w:val="0"/>
          <w:color w:val="000000" w:themeColor="text1"/>
          <w:kern w:val="0"/>
          <w:sz w:val="32"/>
          <w:szCs w:val="32"/>
          <w14:textFill>
            <w14:solidFill>
              <w14:schemeClr w14:val="tx1"/>
            </w14:solidFill>
          </w14:textFill>
        </w:rPr>
        <w:t>2021年一般公共预算财政拨款支出情况说明</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楷体_GB2312" w:hAnsi="宋体" w:eastAsia="楷体_GB2312" w:cs="宋体"/>
          <w:b/>
          <w:bCs/>
          <w:color w:val="000000" w:themeColor="text1"/>
          <w:kern w:val="0"/>
          <w:sz w:val="32"/>
          <w:szCs w:val="32"/>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（一）基本支出情况说明</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金凤区良田镇人民政府2021年一般公共预算财政拨款基本支出1238.26万元，其中：本年收入安排支出1238.26万元，上年结</w:t>
      </w:r>
      <w:r>
        <w:rPr>
          <w:rFonts w:hint="eastAsia" w:ascii="仿宋" w:hAnsi="仿宋" w:eastAsia="仿宋" w:cs="宋体"/>
          <w:kern w:val="0"/>
          <w:sz w:val="32"/>
          <w:szCs w:val="32"/>
        </w:rPr>
        <w:t>转资金安排支出0万元。比2020年执行数（决算数）减少42.38万元，下降3.31%。</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人员经费</w:t>
      </w:r>
      <w:r>
        <w:rPr>
          <w:rFonts w:hint="eastAsia" w:ascii="仿宋" w:hAnsi="仿宋" w:eastAsia="仿宋" w:cs="宋体"/>
          <w:kern w:val="0"/>
          <w:sz w:val="32"/>
          <w:szCs w:val="32"/>
        </w:rPr>
        <w:t>1042.73</w:t>
      </w:r>
      <w:r>
        <w:rPr>
          <w:rFonts w:hint="eastAsia" w:ascii="仿宋" w:hAnsi="仿宋" w:eastAsia="仿宋" w:cs="宋体"/>
          <w:color w:val="000000" w:themeColor="text1"/>
          <w:kern w:val="0"/>
          <w:sz w:val="32"/>
          <w:szCs w:val="32"/>
          <w14:textFill>
            <w14:solidFill>
              <w14:schemeClr w14:val="tx1"/>
            </w14:solidFill>
          </w14:textFill>
        </w:rPr>
        <w:t>万元，主要包括:基本工资132.28万元、津贴补贴158.2万元、奖金162.85万元、社会保障缴费</w:t>
      </w:r>
      <w:r>
        <w:rPr>
          <w:rFonts w:hint="eastAsia" w:ascii="仿宋" w:hAnsi="仿宋" w:eastAsia="仿宋" w:cs="宋体"/>
          <w:kern w:val="0"/>
          <w:sz w:val="32"/>
          <w:szCs w:val="32"/>
        </w:rPr>
        <w:t>94.81万元、其他工资福利支出406.55万</w:t>
      </w:r>
      <w:r>
        <w:rPr>
          <w:rFonts w:hint="eastAsia" w:ascii="仿宋" w:hAnsi="仿宋" w:eastAsia="仿宋" w:cs="宋体"/>
          <w:color w:val="000000" w:themeColor="text1"/>
          <w:kern w:val="0"/>
          <w:sz w:val="32"/>
          <w:szCs w:val="32"/>
          <w14:textFill>
            <w14:solidFill>
              <w14:schemeClr w14:val="tx1"/>
            </w14:solidFill>
          </w14:textFill>
        </w:rPr>
        <w:t>元、退休费22.19万元、生活补助0.66万元、医疗费34.45万元、住房公积金30.74万元、其他对个人和家庭的补助支出0万元；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公用经费</w:t>
      </w:r>
      <w:r>
        <w:rPr>
          <w:rFonts w:hint="eastAsia" w:ascii="仿宋" w:hAnsi="仿宋" w:eastAsia="仿宋" w:cs="宋体"/>
          <w:kern w:val="0"/>
          <w:sz w:val="32"/>
          <w:szCs w:val="32"/>
        </w:rPr>
        <w:t>119.83</w:t>
      </w:r>
      <w:r>
        <w:rPr>
          <w:rFonts w:hint="eastAsia" w:ascii="仿宋" w:hAnsi="仿宋" w:eastAsia="仿宋" w:cs="宋体"/>
          <w:color w:val="000000" w:themeColor="text1"/>
          <w:kern w:val="0"/>
          <w:sz w:val="32"/>
          <w:szCs w:val="32"/>
          <w14:textFill>
            <w14:solidFill>
              <w14:schemeClr w14:val="tx1"/>
            </w14:solidFill>
          </w14:textFill>
        </w:rPr>
        <w:t>万元，主要包括：办公费56.75万元、印刷费0万元、水费1.5万元、电费4万元、邮电费3万元、取暖费18.97万元、差旅费1.5万元、维修（护）费0万元、培训费0万元、劳务费0万元、工会经费0万元、公务用车运行维护费12万元、其他交通费15.58万元、其他商品和服务支出6.53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楷体_GB2312" w:hAnsi="宋体" w:eastAsia="楷体_GB2312" w:cs="宋体"/>
          <w:b/>
          <w:bCs/>
          <w:color w:val="000000" w:themeColor="text1"/>
          <w:kern w:val="0"/>
          <w:sz w:val="32"/>
          <w:szCs w:val="32"/>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（二）项目支出情况说明</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金凤区良田镇人民政府2021年一般公共预算财政拨款项目支出469.21万元，其中：本年收入安排支出469.21万元，上年结转结余资金安排支出0万元。包括：</w:t>
      </w:r>
      <w:r>
        <w:rPr>
          <w:rFonts w:hint="eastAsia" w:ascii="仿宋" w:hAnsi="仿宋" w:eastAsia="仿宋"/>
          <w:color w:val="000000" w:themeColor="text1"/>
          <w:kern w:val="0"/>
          <w:sz w:val="32"/>
          <w:szCs w:val="32"/>
          <w14:textFill>
            <w14:solidFill>
              <w14:schemeClr w14:val="tx1"/>
            </w14:solidFill>
          </w14:textFill>
        </w:rPr>
        <w:t>农林水支出（类）农村综合改革（款）对村级一事一议的补助（项）2021年预算469.21万元，</w:t>
      </w:r>
      <w:r>
        <w:rPr>
          <w:rFonts w:hint="eastAsia" w:ascii="仿宋" w:hAnsi="仿宋" w:eastAsia="仿宋" w:cs="宋体"/>
          <w:color w:val="000000" w:themeColor="text1"/>
          <w:kern w:val="0"/>
          <w:sz w:val="32"/>
          <w:szCs w:val="32"/>
          <w14:textFill>
            <w14:solidFill>
              <w14:schemeClr w14:val="tx1"/>
            </w14:solidFill>
          </w14:textFill>
        </w:rPr>
        <w:t>比2020年决算数减少</w:t>
      </w:r>
      <w:r>
        <w:rPr>
          <w:rFonts w:hint="eastAsia" w:ascii="仿宋" w:hAnsi="仿宋" w:eastAsia="仿宋" w:cs="宋体"/>
          <w:kern w:val="0"/>
          <w:sz w:val="32"/>
          <w:szCs w:val="32"/>
        </w:rPr>
        <w:t>33.78万元，下降6.72%。主要2021年度用于基础设施建设项目。</w:t>
      </w:r>
      <w:r>
        <w:rPr>
          <w:rFonts w:hint="eastAsia" w:ascii="仿宋" w:hAnsi="仿宋" w:eastAsia="仿宋" w:cs="宋体"/>
          <w:color w:val="000000" w:themeColor="text1"/>
          <w:kern w:val="0"/>
          <w:sz w:val="32"/>
          <w:szCs w:val="32"/>
          <w14:textFill>
            <w14:solidFill>
              <w14:schemeClr w14:val="tx1"/>
            </w14:solidFill>
          </w14:textFill>
        </w:rPr>
        <w:t>（1、2017年良田镇园林村、园子村新建温棚园区补助资金200万元；2、银川市金凤区良田镇2017年旧棚改造项目269.21）</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黑体" w:hAnsi="宋体" w:eastAsia="黑体" w:cs="宋体"/>
          <w:b/>
          <w:bCs/>
          <w:color w:val="000000" w:themeColor="text1"/>
          <w:kern w:val="0"/>
          <w:sz w:val="32"/>
          <w:szCs w:val="32"/>
          <w14:textFill>
            <w14:solidFill>
              <w14:schemeClr w14:val="tx1"/>
            </w14:solidFill>
          </w14:textFill>
        </w:rPr>
      </w:pPr>
      <w:r>
        <w:rPr>
          <w:rFonts w:hint="eastAsia" w:ascii="黑体" w:hAnsi="宋体" w:eastAsia="黑体" w:cs="宋体"/>
          <w:b w:val="0"/>
          <w:bCs w:val="0"/>
          <w:color w:val="000000" w:themeColor="text1"/>
          <w:kern w:val="0"/>
          <w:sz w:val="32"/>
          <w:szCs w:val="32"/>
          <w14:textFill>
            <w14:solidFill>
              <w14:schemeClr w14:val="tx1"/>
            </w14:solidFill>
          </w14:textFill>
        </w:rPr>
        <w:t>三、关于</w:t>
      </w:r>
      <w:r>
        <w:rPr>
          <w:rFonts w:hint="eastAsia" w:ascii="黑体" w:eastAsia="黑体" w:cs="宋体"/>
          <w:b w:val="0"/>
          <w:bCs w:val="0"/>
          <w:color w:val="000000" w:themeColor="text1"/>
          <w:kern w:val="0"/>
          <w:sz w:val="32"/>
          <w:szCs w:val="32"/>
          <w14:textFill>
            <w14:solidFill>
              <w14:schemeClr w14:val="tx1"/>
            </w14:solidFill>
          </w14:textFill>
        </w:rPr>
        <w:t>金凤区良田镇人民政府</w:t>
      </w:r>
      <w:r>
        <w:rPr>
          <w:rFonts w:hint="eastAsia" w:ascii="黑体" w:hAnsi="宋体" w:eastAsia="黑体" w:cs="宋体"/>
          <w:b w:val="0"/>
          <w:bCs w:val="0"/>
          <w:color w:val="000000" w:themeColor="text1"/>
          <w:kern w:val="0"/>
          <w:sz w:val="32"/>
          <w:szCs w:val="32"/>
          <w14:textFill>
            <w14:solidFill>
              <w14:schemeClr w14:val="tx1"/>
            </w14:solidFill>
          </w14:textFill>
        </w:rPr>
        <w:t>2021年一般公共预算财政拨款“三公”经费预算情况说明</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金凤区良田镇人民政府2021年“三公”经费财政拨款预算数为12万元，其中：因公出国（境）费0万元，公务用车购置0万元，公务用车运行费12万元，公务接待费0 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2021年“三公”经费财政拨款预算等于2020年决算数。</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黑体" w:hAnsi="宋体" w:eastAsia="黑体" w:cs="宋体"/>
          <w:b w:val="0"/>
          <w:bCs w:val="0"/>
          <w:color w:val="000000" w:themeColor="text1"/>
          <w:kern w:val="0"/>
          <w:sz w:val="32"/>
          <w:szCs w:val="32"/>
          <w14:textFill>
            <w14:solidFill>
              <w14:schemeClr w14:val="tx1"/>
            </w14:solidFill>
          </w14:textFill>
        </w:rPr>
      </w:pPr>
      <w:r>
        <w:rPr>
          <w:rFonts w:hint="eastAsia" w:ascii="黑体" w:hAnsi="宋体" w:eastAsia="黑体" w:cs="宋体"/>
          <w:b w:val="0"/>
          <w:bCs w:val="0"/>
          <w:color w:val="000000" w:themeColor="text1"/>
          <w:kern w:val="0"/>
          <w:sz w:val="32"/>
          <w:szCs w:val="32"/>
          <w14:textFill>
            <w14:solidFill>
              <w14:schemeClr w14:val="tx1"/>
            </w14:solidFill>
          </w14:textFill>
        </w:rPr>
        <w:t>四、关于</w:t>
      </w:r>
      <w:r>
        <w:rPr>
          <w:rFonts w:hint="eastAsia" w:ascii="黑体" w:eastAsia="黑体" w:cs="宋体"/>
          <w:b w:val="0"/>
          <w:bCs w:val="0"/>
          <w:color w:val="000000" w:themeColor="text1"/>
          <w:kern w:val="0"/>
          <w:sz w:val="32"/>
          <w:szCs w:val="32"/>
          <w14:textFill>
            <w14:solidFill>
              <w14:schemeClr w14:val="tx1"/>
            </w14:solidFill>
          </w14:textFill>
        </w:rPr>
        <w:t>金凤区良田镇人民政府</w:t>
      </w:r>
      <w:r>
        <w:rPr>
          <w:rFonts w:hint="eastAsia" w:ascii="黑体" w:hAnsi="宋体" w:eastAsia="黑体" w:cs="宋体"/>
          <w:b w:val="0"/>
          <w:bCs w:val="0"/>
          <w:color w:val="000000" w:themeColor="text1"/>
          <w:kern w:val="0"/>
          <w:sz w:val="32"/>
          <w:szCs w:val="32"/>
          <w14:textFill>
            <w14:solidFill>
              <w14:schemeClr w14:val="tx1"/>
            </w14:solidFill>
          </w14:textFill>
        </w:rPr>
        <w:t>2021年政府性基金预算拨款情况说明</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金凤区良田镇人民政府2021年无政府性基金预算财政拨款收支。</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ascii="黑体" w:hAnsi="宋体" w:eastAsia="黑体" w:cs="宋体"/>
          <w:b/>
          <w:bCs/>
          <w:color w:val="000000" w:themeColor="text1"/>
          <w:kern w:val="0"/>
          <w:sz w:val="32"/>
          <w:szCs w:val="32"/>
          <w14:textFill>
            <w14:solidFill>
              <w14:schemeClr w14:val="tx1"/>
            </w14:solidFill>
          </w14:textFill>
        </w:rPr>
      </w:pPr>
      <w:r>
        <w:rPr>
          <w:rFonts w:hint="eastAsia" w:ascii="黑体" w:hAnsi="宋体" w:eastAsia="黑体" w:cs="宋体"/>
          <w:b w:val="0"/>
          <w:bCs w:val="0"/>
          <w:color w:val="000000" w:themeColor="text1"/>
          <w:kern w:val="0"/>
          <w:sz w:val="32"/>
          <w:szCs w:val="32"/>
          <w14:textFill>
            <w14:solidFill>
              <w14:schemeClr w14:val="tx1"/>
            </w14:solidFill>
          </w14:textFill>
        </w:rPr>
        <w:t>五、关于</w:t>
      </w:r>
      <w:r>
        <w:rPr>
          <w:rFonts w:hint="eastAsia" w:ascii="黑体" w:eastAsia="黑体" w:cs="宋体"/>
          <w:b w:val="0"/>
          <w:bCs w:val="0"/>
          <w:color w:val="000000" w:themeColor="text1"/>
          <w:kern w:val="0"/>
          <w:sz w:val="32"/>
          <w:szCs w:val="32"/>
          <w14:textFill>
            <w14:solidFill>
              <w14:schemeClr w14:val="tx1"/>
            </w14:solidFill>
          </w14:textFill>
        </w:rPr>
        <w:t>金凤区良田镇人民政府</w:t>
      </w:r>
      <w:r>
        <w:rPr>
          <w:rFonts w:hint="eastAsia" w:ascii="黑体" w:hAnsi="宋体" w:eastAsia="黑体" w:cs="宋体"/>
          <w:b w:val="0"/>
          <w:bCs w:val="0"/>
          <w:color w:val="000000" w:themeColor="text1"/>
          <w:kern w:val="0"/>
          <w:sz w:val="32"/>
          <w:szCs w:val="32"/>
          <w14:textFill>
            <w14:solidFill>
              <w14:schemeClr w14:val="tx1"/>
            </w14:solidFill>
          </w14:textFill>
        </w:rPr>
        <w:t>2021年收支预算情况的总体说明</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金凤区良田镇人民政府2021年收入总预算1707.46万元，其中：本年收入1707.46万元，上年结转结余 0万元；支出总预算1707.46万元，其中：本年支出1707.46万元，年末结转结余 0万元。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本年收入包括：财政拨款预算收入1707.46万元，占100%；事业预算收入 0万元，占0%；上级补助预算收入0万元，占0%；附属单位上缴预算收入0万元，占0 %；经营预算收入0万元，占0%；债务预算收入0万元，占0%；非同级财政拨款预算收入0万元，占0%；投资预算收益0万元，占0 %；其他预算收入0万元，占0%。</w:t>
      </w:r>
    </w:p>
    <w:p>
      <w:pPr>
        <w:keepNext w:val="0"/>
        <w:keepLines w:val="0"/>
        <w:pageBreakBefore w:val="0"/>
        <w:widowControl/>
        <w:kinsoku/>
        <w:wordWrap/>
        <w:overflowPunct/>
        <w:topLinePunct w:val="0"/>
        <w:autoSpaceDE/>
        <w:autoSpaceDN/>
        <w:bidi w:val="0"/>
        <w:adjustRightInd/>
        <w:snapToGrid/>
        <w:spacing w:line="560" w:lineRule="exact"/>
        <w:ind w:left="178" w:leftChars="85" w:right="0" w:rightChars="0" w:firstLine="362" w:firstLineChars="113"/>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本年支出包括：行政支出1707.46万元，占0%；事业支出0万元，占0%；经营支出0万元，占0%；上缴上级支出0万元，占0%；对附属单位补助支出0万元，占0%；投资支出0万元，占0%；债务还本支出0万元，占0%；其他支出   0万元，占0%。</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黑体" w:hAnsi="宋体" w:eastAsia="黑体" w:cs="宋体"/>
          <w:b w:val="0"/>
          <w:bCs w:val="0"/>
          <w:color w:val="000000" w:themeColor="text1"/>
          <w:kern w:val="0"/>
          <w:sz w:val="32"/>
          <w:szCs w:val="32"/>
          <w14:textFill>
            <w14:solidFill>
              <w14:schemeClr w14:val="tx1"/>
            </w14:solidFill>
          </w14:textFill>
        </w:rPr>
      </w:pPr>
      <w:r>
        <w:rPr>
          <w:rFonts w:hint="eastAsia" w:ascii="黑体" w:hAnsi="宋体" w:eastAsia="黑体" w:cs="宋体"/>
          <w:b w:val="0"/>
          <w:bCs w:val="0"/>
          <w:color w:val="000000" w:themeColor="text1"/>
          <w:kern w:val="0"/>
          <w:sz w:val="32"/>
          <w:szCs w:val="32"/>
          <w14:textFill>
            <w14:solidFill>
              <w14:schemeClr w14:val="tx1"/>
            </w14:solidFill>
          </w14:textFill>
        </w:rPr>
        <w:t>六、其他重要事项的情况说明</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（一）机关运行经费</w:t>
      </w:r>
      <w:r>
        <w:rPr>
          <w:rFonts w:hint="eastAsia" w:ascii="仿宋" w:hAnsi="仿宋" w:eastAsia="仿宋" w:cs="宋体"/>
          <w:color w:val="000000" w:themeColor="text1"/>
          <w:kern w:val="0"/>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kern w:val="0"/>
          <w:sz w:val="32"/>
          <w:szCs w:val="32"/>
        </w:rPr>
      </w:pPr>
      <w:r>
        <w:rPr>
          <w:rFonts w:hint="eastAsia" w:ascii="仿宋" w:hAnsi="仿宋" w:eastAsia="仿宋" w:cs="宋体"/>
          <w:color w:val="000000" w:themeColor="text1"/>
          <w:kern w:val="0"/>
          <w:sz w:val="32"/>
          <w:szCs w:val="32"/>
          <w14:textFill>
            <w14:solidFill>
              <w14:schemeClr w14:val="tx1"/>
            </w14:solidFill>
          </w14:textFill>
        </w:rPr>
        <w:t>2021年，金凤区良田镇人民政府本级所属1个行政单位，机关运行经费财政拨款预算</w:t>
      </w:r>
      <w:r>
        <w:rPr>
          <w:rFonts w:hint="eastAsia" w:ascii="仿宋" w:hAnsi="仿宋" w:eastAsia="仿宋" w:cs="宋体"/>
          <w:kern w:val="0"/>
          <w:sz w:val="32"/>
          <w:szCs w:val="32"/>
        </w:rPr>
        <w:t>119.83万元，比2020年预算增加6.2万元，增长5.46%</w:t>
      </w:r>
      <w:r>
        <w:rPr>
          <w:rFonts w:hint="eastAsia" w:ascii="仿宋" w:hAnsi="仿宋" w:eastAsia="仿宋" w:cs="宋体"/>
          <w:color w:val="000000" w:themeColor="text1"/>
          <w:kern w:val="0"/>
          <w:sz w:val="32"/>
          <w:szCs w:val="32"/>
          <w14:textFill>
            <w14:solidFill>
              <w14:schemeClr w14:val="tx1"/>
            </w14:solidFill>
          </w14:textFill>
        </w:rPr>
        <w:t>。主要原因是：增加经费。</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（二）政府采购情况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2021年，金凤区良田镇人民政府政府采购预算0万元，其中：政府采购货物预算0万元，政府采购工程预算0万元，政府采购服务预算0万元。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kern w:val="0"/>
          <w:sz w:val="32"/>
          <w:szCs w:val="32"/>
        </w:rPr>
      </w:pPr>
      <w:r>
        <w:rPr>
          <w:rFonts w:hint="eastAsia" w:ascii="仿宋" w:hAnsi="仿宋" w:eastAsia="仿宋" w:cs="宋体"/>
          <w:b/>
          <w:bCs/>
          <w:kern w:val="0"/>
          <w:sz w:val="32"/>
          <w:szCs w:val="32"/>
        </w:rPr>
        <w:t>（三）国有资产占用使用情况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kern w:val="0"/>
          <w:sz w:val="32"/>
          <w:szCs w:val="32"/>
        </w:rPr>
      </w:pPr>
      <w:r>
        <w:rPr>
          <w:rFonts w:hint="eastAsia" w:ascii="仿宋" w:hAnsi="仿宋" w:eastAsia="仿宋" w:cs="宋体"/>
          <w:kern w:val="0"/>
          <w:sz w:val="32"/>
          <w:szCs w:val="32"/>
        </w:rPr>
        <w:t>截至2021年12月31日，金凤区良田镇人民政府占用使用国有资产总体情况为房屋4000平方米，价值401.41万元；土地0平方米，价值0万元；车辆5辆，价值88.3万元（一辆价值30万元公务车未下账，因为公务车改革交回上级部门，无批复未下账）；办公家具价值93.91万元；其他资产价值266.22万元。国有资产分布情况为：</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kern w:val="0"/>
          <w:sz w:val="32"/>
          <w:szCs w:val="32"/>
        </w:rPr>
      </w:pPr>
      <w:r>
        <w:rPr>
          <w:rFonts w:hint="eastAsia" w:ascii="仿宋" w:hAnsi="仿宋" w:eastAsia="仿宋" w:cs="宋体"/>
          <w:kern w:val="0"/>
          <w:sz w:val="32"/>
          <w:szCs w:val="32"/>
        </w:rPr>
        <w:t>本级部门房屋4000平方米，价值401.41万元；土地0平方米，价值0万元；车辆 5辆，价值88.3万元（一辆价值30万元公务车未下账，因为公务车改革交回上级部门，无批复未下账）；办公家具价值93.91万元；其他资产价值   266.22万元。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kern w:val="0"/>
          <w:sz w:val="32"/>
          <w:szCs w:val="32"/>
        </w:rPr>
      </w:pPr>
      <w:r>
        <w:rPr>
          <w:rFonts w:hint="eastAsia" w:ascii="仿宋" w:hAnsi="仿宋" w:eastAsia="仿宋" w:cs="宋体"/>
          <w:kern w:val="0"/>
          <w:sz w:val="32"/>
          <w:szCs w:val="32"/>
        </w:rPr>
        <w:t>所属单位房屋0平方米，价值0万元；土地0平方米，价值0万元；车辆0辆，价值0万元；办公家具价值0万元；其他资产价值0万元。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（四）预算绩效情况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2021年金凤区良田镇人民政府重点项目绩效评价：</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本年度未开展此项工作。</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（五）其他需说明的事项</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jc w:val="lef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1"/>
        <w:rPr>
          <w:rFonts w:ascii="仿宋_GB2312" w:hAnsi="宋体" w:eastAsia="仿宋_GB2312"/>
          <w:b/>
          <w:bCs/>
          <w:color w:val="000000" w:themeColor="text1"/>
          <w:kern w:val="0"/>
          <w:sz w:val="36"/>
          <w:szCs w:val="36"/>
          <w14:textFill>
            <w14:solidFill>
              <w14:schemeClr w14:val="tx1"/>
            </w14:solidFill>
          </w14:textFill>
        </w:rPr>
      </w:pPr>
      <w:r>
        <w:rPr>
          <w:rFonts w:hint="eastAsia" w:ascii="黑体" w:eastAsia="黑体" w:cs="宋体"/>
          <w:b/>
          <w:bCs/>
          <w:color w:val="000000" w:themeColor="text1"/>
          <w:kern w:val="0"/>
          <w:sz w:val="32"/>
          <w:szCs w:val="32"/>
          <w14:textFill>
            <w14:solidFill>
              <w14:schemeClr w14:val="tx1"/>
            </w14:solidFill>
          </w14:textFill>
        </w:rPr>
        <w:t>金凤区良田镇人民政府</w:t>
      </w:r>
      <w:r>
        <w:rPr>
          <w:rFonts w:hint="eastAsia" w:ascii="仿宋_GB2312" w:hAnsi="宋体" w:eastAsia="仿宋_GB2312"/>
          <w:b/>
          <w:bCs/>
          <w:color w:val="000000" w:themeColor="text1"/>
          <w:kern w:val="0"/>
          <w:sz w:val="36"/>
          <w:szCs w:val="36"/>
          <w14:textFill>
            <w14:solidFill>
              <w14:schemeClr w14:val="tx1"/>
            </w14:solidFill>
          </w14:textFill>
        </w:rPr>
        <w:t>2021年部门预算——名词解释</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一、支出功能分类科目编码、名称</w:t>
      </w:r>
      <w:r>
        <w:rPr>
          <w:rFonts w:hint="eastAsia" w:ascii="黑体" w:hAnsi="黑体" w:eastAsia="黑体" w:cs="黑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按照《2021年政府收支分类科目》“类”、“款”、“项”的编码和名称填列</w:t>
      </w:r>
      <w:r>
        <w:rPr>
          <w:rFonts w:hint="eastAsia" w:ascii="宋体" w:hAnsi="宋体" w:eastAsia="仿宋" w:cs="宋体"/>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二、年初结转和结余：</w:t>
      </w:r>
      <w:r>
        <w:rPr>
          <w:rFonts w:hint="eastAsia" w:ascii="仿宋" w:hAnsi="仿宋" w:eastAsia="仿宋" w:cs="宋体"/>
          <w:color w:val="000000" w:themeColor="text1"/>
          <w:kern w:val="0"/>
          <w:sz w:val="32"/>
          <w:szCs w:val="32"/>
          <w14:textFill>
            <w14:solidFill>
              <w14:schemeClr w14:val="tx1"/>
            </w14:solidFill>
          </w14:textFill>
        </w:rPr>
        <w:t>是指单位上年结转本年使用的基本支出结转、项目支出结转和结余和经营结余。</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三、基本支出结转：</w:t>
      </w:r>
      <w:r>
        <w:rPr>
          <w:rFonts w:hint="eastAsia" w:ascii="仿宋" w:hAnsi="仿宋" w:eastAsia="仿宋" w:cs="宋体"/>
          <w:color w:val="000000" w:themeColor="text1"/>
          <w:kern w:val="0"/>
          <w:sz w:val="32"/>
          <w:szCs w:val="32"/>
          <w14:textFill>
            <w14:solidFill>
              <w14:schemeClr w14:val="tx1"/>
            </w14:solidFill>
          </w14:textFill>
        </w:rPr>
        <w:t>是指单位基本支出收支相抵后结转本年使用的累计余额，包括事业单位未转入事业基金的基本支出结转。</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四、项目支出结转和结余：</w:t>
      </w:r>
      <w:r>
        <w:rPr>
          <w:rFonts w:hint="eastAsia" w:ascii="仿宋" w:hAnsi="仿宋" w:eastAsia="仿宋" w:cs="宋体"/>
          <w:color w:val="000000" w:themeColor="text1"/>
          <w:kern w:val="0"/>
          <w:sz w:val="32"/>
          <w:szCs w:val="32"/>
          <w14:textFill>
            <w14:solidFill>
              <w14:schemeClr w14:val="tx1"/>
            </w14:solidFill>
          </w14:textFill>
        </w:rPr>
        <w:t>是指单位从财政部门或上级单位等取得，需要结转本年继续使用的项目支出收支累计余额。</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五、基本建设资金结转和结余：</w:t>
      </w:r>
      <w:r>
        <w:rPr>
          <w:rFonts w:hint="eastAsia" w:ascii="仿宋" w:hAnsi="仿宋" w:eastAsia="仿宋" w:cs="宋体"/>
          <w:color w:val="000000" w:themeColor="text1"/>
          <w:kern w:val="0"/>
          <w:sz w:val="32"/>
          <w:szCs w:val="32"/>
          <w14:textFill>
            <w14:solidFill>
              <w14:schemeClr w14:val="tx1"/>
            </w14:solidFill>
          </w14:textFill>
        </w:rPr>
        <w:t>是指单位基本建设类资金中非偿还性资金结转本年使用的累计余额。</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六、本年收入</w:t>
      </w:r>
      <w:r>
        <w:rPr>
          <w:rFonts w:hint="eastAsia" w:ascii="仿宋" w:hAnsi="仿宋" w:eastAsia="仿宋" w:cs="宋体"/>
          <w:color w:val="000000" w:themeColor="text1"/>
          <w:kern w:val="0"/>
          <w:sz w:val="32"/>
          <w:szCs w:val="32"/>
          <w14:textFill>
            <w14:solidFill>
              <w14:schemeClr w14:val="tx1"/>
            </w14:solidFill>
          </w14:textFill>
        </w:rPr>
        <w:t>：是指单位本年度取得的全部收入。</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七、本年支出</w:t>
      </w:r>
      <w:r>
        <w:rPr>
          <w:rFonts w:hint="eastAsia" w:ascii="仿宋" w:hAnsi="仿宋" w:eastAsia="仿宋" w:cs="宋体"/>
          <w:color w:val="000000" w:themeColor="text1"/>
          <w:kern w:val="0"/>
          <w:sz w:val="32"/>
          <w:szCs w:val="32"/>
          <w14:textFill>
            <w14:solidFill>
              <w14:schemeClr w14:val="tx1"/>
            </w14:solidFill>
          </w14:textFill>
        </w:rPr>
        <w:t>：是指单位本年度全部支出。</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八、结余分配：</w:t>
      </w:r>
      <w:r>
        <w:rPr>
          <w:rFonts w:hint="eastAsia" w:ascii="仿宋" w:hAnsi="仿宋" w:eastAsia="仿宋" w:cs="宋体"/>
          <w:color w:val="000000" w:themeColor="text1"/>
          <w:kern w:val="0"/>
          <w:sz w:val="32"/>
          <w:szCs w:val="32"/>
          <w14:textFill>
            <w14:solidFill>
              <w14:schemeClr w14:val="tx1"/>
            </w14:solidFill>
          </w14:textFill>
        </w:rPr>
        <w:t>是指单位当年结余的分配情况。</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九、年末结转和结余：</w:t>
      </w:r>
      <w:r>
        <w:rPr>
          <w:rFonts w:hint="eastAsia" w:ascii="仿宋" w:hAnsi="仿宋" w:eastAsia="仿宋" w:cs="宋体"/>
          <w:color w:val="000000" w:themeColor="text1"/>
          <w:kern w:val="0"/>
          <w:sz w:val="32"/>
          <w:szCs w:val="32"/>
          <w14:textFill>
            <w14:solidFill>
              <w14:schemeClr w14:val="tx1"/>
            </w14:solidFill>
          </w14:textFill>
        </w:rPr>
        <w:t>是指单位结转下年的基本支出结转、项目支出结转和结余和经营结余。</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　十、财政拨款收入：</w:t>
      </w:r>
      <w:r>
        <w:rPr>
          <w:rFonts w:hint="eastAsia" w:ascii="仿宋" w:hAnsi="仿宋" w:eastAsia="仿宋" w:cs="宋体"/>
          <w:color w:val="000000" w:themeColor="text1"/>
          <w:kern w:val="0"/>
          <w:sz w:val="32"/>
          <w:szCs w:val="32"/>
          <w14:textFill>
            <w14:solidFill>
              <w14:schemeClr w14:val="tx1"/>
            </w14:solidFill>
          </w14:textFill>
        </w:rPr>
        <w:t>是指单位本年度从本级财政部门取得的财政拨款，包括一般公共预算财政拨款和政府性基金预算财政拨款。</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　十一、事业收入：</w:t>
      </w:r>
      <w:r>
        <w:rPr>
          <w:rFonts w:hint="eastAsia" w:ascii="仿宋" w:hAnsi="仿宋" w:eastAsia="仿宋" w:cs="宋体"/>
          <w:color w:val="000000" w:themeColor="text1"/>
          <w:kern w:val="0"/>
          <w:sz w:val="32"/>
          <w:szCs w:val="32"/>
          <w14:textFill>
            <w14:solidFill>
              <w14:schemeClr w14:val="tx1"/>
            </w14:solidFill>
          </w14:textFill>
        </w:rPr>
        <w:t>是指事业单位开展专业业务活动及其辅助活动取得的收入。</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十二、经营收入：</w:t>
      </w:r>
      <w:r>
        <w:rPr>
          <w:rFonts w:hint="eastAsia" w:ascii="仿宋" w:hAnsi="仿宋" w:eastAsia="仿宋" w:cs="宋体"/>
          <w:color w:val="000000" w:themeColor="text1"/>
          <w:kern w:val="0"/>
          <w:sz w:val="32"/>
          <w:szCs w:val="32"/>
          <w14:textFill>
            <w14:solidFill>
              <w14:schemeClr w14:val="tx1"/>
            </w14:solidFill>
          </w14:textFill>
        </w:rPr>
        <w:t>是指事业单位在专业业务活动及其辅助活动之外开展非独立核算经营活动取得的收入。</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十三、其他收入：</w:t>
      </w:r>
      <w:r>
        <w:rPr>
          <w:rFonts w:hint="eastAsia" w:ascii="仿宋" w:hAnsi="仿宋" w:eastAsia="仿宋" w:cs="宋体"/>
          <w:color w:val="000000" w:themeColor="text1"/>
          <w:kern w:val="0"/>
          <w:sz w:val="32"/>
          <w:szCs w:val="32"/>
          <w14:textFill>
            <w14:solidFill>
              <w14:schemeClr w14:val="tx1"/>
            </w14:solidFill>
          </w14:textFill>
        </w:rPr>
        <w:t>是指单位取得的除“财政拨款收入”、“事业收入”、“经营收入”等以外的各项收入。</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十四、基本支出：</w:t>
      </w:r>
      <w:r>
        <w:rPr>
          <w:rFonts w:hint="eastAsia" w:ascii="仿宋" w:hAnsi="仿宋" w:eastAsia="仿宋" w:cs="宋体"/>
          <w:color w:val="000000" w:themeColor="text1"/>
          <w:kern w:val="0"/>
          <w:sz w:val="32"/>
          <w:szCs w:val="32"/>
          <w14:textFill>
            <w14:solidFill>
              <w14:schemeClr w14:val="tx1"/>
            </w14:solidFill>
          </w14:textFill>
        </w:rPr>
        <w:t>是指单位为保障机构正常运转、完成日常工作任务而发生的各项支出。</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十五、项目支出：</w:t>
      </w:r>
      <w:r>
        <w:rPr>
          <w:rFonts w:hint="eastAsia" w:ascii="仿宋" w:hAnsi="仿宋" w:eastAsia="仿宋" w:cs="宋体"/>
          <w:color w:val="000000" w:themeColor="text1"/>
          <w:kern w:val="0"/>
          <w:sz w:val="32"/>
          <w:szCs w:val="32"/>
          <w14:textFill>
            <w14:solidFill>
              <w14:schemeClr w14:val="tx1"/>
            </w14:solidFill>
          </w14:textFill>
        </w:rPr>
        <w:t>是指单位为完成特定的行政工作任务或事业发展目标，在基本支出之外发生的各项支出。</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十六、经营支出：</w:t>
      </w:r>
      <w:r>
        <w:rPr>
          <w:rFonts w:hint="eastAsia" w:ascii="仿宋" w:hAnsi="仿宋" w:eastAsia="仿宋" w:cs="宋体"/>
          <w:color w:val="000000" w:themeColor="text1"/>
          <w:kern w:val="0"/>
          <w:sz w:val="32"/>
          <w:szCs w:val="32"/>
          <w14:textFill>
            <w14:solidFill>
              <w14:schemeClr w14:val="tx1"/>
            </w14:solidFill>
          </w14:textFill>
        </w:rPr>
        <w:t>是指事业单位在专业活动及辅助活动之外开展非独立核算经营活动发生的支出。</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十七、人员经费：</w:t>
      </w:r>
      <w:r>
        <w:rPr>
          <w:rFonts w:hint="eastAsia" w:ascii="仿宋" w:hAnsi="仿宋" w:eastAsia="仿宋" w:cs="宋体"/>
          <w:color w:val="000000" w:themeColor="text1"/>
          <w:kern w:val="0"/>
          <w:sz w:val="32"/>
          <w:szCs w:val="32"/>
          <w14:textFill>
            <w14:solidFill>
              <w14:schemeClr w14:val="tx1"/>
            </w14:solidFill>
          </w14:textFill>
        </w:rPr>
        <w:t>是指单位基本支出中用一般公共预算财政拨款安排的“工资福利支出”和“对个人和家庭的补助”。</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十八、日常公用经费：</w:t>
      </w:r>
      <w:r>
        <w:rPr>
          <w:rFonts w:hint="eastAsia" w:ascii="仿宋" w:hAnsi="仿宋" w:eastAsia="仿宋" w:cs="宋体"/>
          <w:color w:val="000000" w:themeColor="text1"/>
          <w:kern w:val="0"/>
          <w:sz w:val="32"/>
          <w:szCs w:val="32"/>
          <w14:textFill>
            <w14:solidFill>
              <w14:schemeClr w14:val="tx1"/>
            </w14:solidFill>
          </w14:textFill>
        </w:rPr>
        <w:t>是指单位用一般公共预算财政拨款安排的除人员经费以外的基本支出。</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w:t>
      </w:r>
      <w:r>
        <w:rPr>
          <w:rFonts w:hint="eastAsia" w:ascii="黑体" w:hAnsi="黑体" w:eastAsia="黑体" w:cs="黑体"/>
          <w:b/>
          <w:bCs/>
          <w:color w:val="000000" w:themeColor="text1"/>
          <w:kern w:val="0"/>
          <w:sz w:val="32"/>
          <w:szCs w:val="32"/>
          <w14:textFill>
            <w14:solidFill>
              <w14:schemeClr w14:val="tx1"/>
            </w14:solidFill>
          </w14:textFill>
        </w:rPr>
        <w:t>十九、“三公”经费：</w:t>
      </w:r>
      <w:r>
        <w:rPr>
          <w:rFonts w:hint="eastAsia" w:ascii="仿宋" w:hAnsi="仿宋" w:eastAsia="仿宋" w:cs="宋体"/>
          <w:color w:val="000000" w:themeColor="text1"/>
          <w:kern w:val="0"/>
          <w:sz w:val="32"/>
          <w:szCs w:val="32"/>
          <w14:textFill>
            <w14:solidFill>
              <w14:schemeClr w14:val="tx1"/>
            </w14:solidFill>
          </w14:textFill>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宋体" w:hAnsi="宋体" w:eastAsia="仿宋"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textAlignment w:val="auto"/>
        <w:rPr>
          <w:rFonts w:ascii="仿宋" w:hAnsi="仿宋" w:eastAsia="仿宋" w:cs="宋体"/>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二十、机关运行经费：</w:t>
      </w:r>
      <w:r>
        <w:rPr>
          <w:rFonts w:hint="eastAsia" w:ascii="仿宋" w:hAnsi="仿宋" w:eastAsia="仿宋" w:cs="宋体"/>
          <w:bCs/>
          <w:color w:val="000000" w:themeColor="text1"/>
          <w:kern w:val="0"/>
          <w:sz w:val="32"/>
          <w:szCs w:val="32"/>
          <w14:textFill>
            <w14:solidFill>
              <w14:schemeClr w14:val="tx1"/>
            </w14:solidFill>
          </w14:textFill>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before="240" w:after="240"/>
        <w:ind w:firstLine="645"/>
        <w:jc w:val="left"/>
        <w:rPr>
          <w:rFonts w:ascii="仿宋" w:hAnsi="仿宋" w:eastAsia="仿宋" w:cs="宋体"/>
          <w:bCs/>
          <w:color w:val="000000" w:themeColor="text1"/>
          <w:kern w:val="0"/>
          <w:sz w:val="32"/>
          <w:szCs w:val="32"/>
          <w14:textFill>
            <w14:solidFill>
              <w14:schemeClr w14:val="tx1"/>
            </w14:solidFill>
          </w14:textFill>
        </w:rPr>
      </w:pPr>
    </w:p>
    <w:p>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17</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03FCC"/>
    <w:rsid w:val="1FA03F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2021-02-05T06:31:00Z</dcterms:created>
  <dc:creator>良田镇政府收文员</dc:creator>
  <cp:lastModifiedBy>良田镇政府收文员</cp:lastModifiedBy>
  <dcterms:modified xsi:type="dcterms:W3CDTF">2021-02-05T06:32:34Z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