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附件13：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kern w:val="0"/>
          <w:sz w:val="44"/>
          <w:szCs w:val="44"/>
          <w:lang w:val="en-US" w:eastAsia="zh-CN"/>
        </w:rPr>
        <w:t xml:space="preserve"> 特困供养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kern w:val="0"/>
          <w:sz w:val="44"/>
          <w:szCs w:val="44"/>
        </w:rPr>
        <w:t>对象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动态管理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（复审）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记录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918" w:tblpY="3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09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纳入时间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复审对象姓名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1" w:hRule="atLeast"/>
        </w:trPr>
        <w:tc>
          <w:tcPr>
            <w:tcW w:w="8836" w:type="dxa"/>
            <w:gridSpan w:val="4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复审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户籍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变化情况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居住地变化情况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劳动能力变化情况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赡抚养人变化情况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经济来源变化情况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经济状况信息核对情况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核对报告家庭财产变化情况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主动报告情况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复审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结论：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                      复审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单位（盖章）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户籍、居住地、劳动能力、经济来源、赡抚养人等发生变化需提供书面材料随表附后备查，同时连同核对报告、动态管理（复审）表上传民政云系统备查。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户籍、居住地、劳动能力、经济来源、赡抚养人等未发生变的，只将核对报告、动态管理（复审）表上传民政云系统备查。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46D645-8AC3-4D58-999C-F873BC8020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BD80AA-CFF3-4B25-BF38-E7AAB3BAAA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97294A-AB5C-4ED1-A058-F4335C91B25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8803157-FD9A-4793-A331-CDAB54529D4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77AD61C-966C-4F7E-9394-713CC3EEAD3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CF061"/>
    <w:multiLevelType w:val="singleLevel"/>
    <w:tmpl w:val="61DCF06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7F956AEA"/>
    <w:rsid w:val="7F9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2023-09-27T07:54:00Z</dcterms:created>
  <dc:creator>青睐</dc:creator>
  <cp:lastModifiedBy>青睐</cp:lastModifiedBy>
  <dcterms:modified xsi:type="dcterms:W3CDTF">2023-09-27T07:54:52Z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46B918282700427B884269E0063C184D_11</vt:lpwstr>
  </property>
</Properties>
</file>