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99" w:type="dxa"/>
        <w:jc w:val="center"/>
        <w:tblInd w:w="0" w:type="dxa"/>
        <w:tblLayout w:type="fixed"/>
        <w:tblCellMar>
          <w:top w:w="0" w:type="dxa"/>
          <w:left w:w="108" w:type="dxa"/>
          <w:bottom w:w="0" w:type="dxa"/>
          <w:right w:w="108" w:type="dxa"/>
        </w:tblCellMar>
      </w:tblPr>
      <w:tblGrid>
        <w:gridCol w:w="1133"/>
        <w:gridCol w:w="28"/>
        <w:gridCol w:w="1080"/>
        <w:gridCol w:w="135"/>
        <w:gridCol w:w="687"/>
        <w:gridCol w:w="258"/>
        <w:gridCol w:w="1126"/>
        <w:gridCol w:w="234"/>
        <w:gridCol w:w="980"/>
        <w:gridCol w:w="1440"/>
        <w:gridCol w:w="1172"/>
        <w:gridCol w:w="88"/>
        <w:gridCol w:w="961"/>
        <w:gridCol w:w="201"/>
        <w:gridCol w:w="641"/>
        <w:gridCol w:w="537"/>
        <w:gridCol w:w="1081"/>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w:t>
            </w:r>
            <w:bookmarkStart w:id="0" w:name="_GoBack"/>
            <w:bookmarkEnd w:id="0"/>
            <w:r>
              <w:rPr>
                <w:rFonts w:hint="eastAsia" w:ascii="宋体" w:hAnsi="宋体" w:cs="Arial"/>
                <w:b/>
                <w:bCs/>
                <w:color w:val="000000"/>
                <w:kern w:val="0"/>
                <w:sz w:val="36"/>
                <w:szCs w:val="36"/>
              </w:rPr>
              <w:t>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9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9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center"/>
              <w:rPr>
                <w:rFonts w:ascii="宋体" w:hAnsi="宋体" w:cs="Arial"/>
                <w:color w:val="000000"/>
                <w:kern w:val="0"/>
                <w:sz w:val="24"/>
              </w:rPr>
            </w:pPr>
          </w:p>
        </w:tc>
        <w:tc>
          <w:tcPr>
            <w:tcW w:w="11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101"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2017年度预算数</w:t>
            </w:r>
          </w:p>
        </w:tc>
        <w:tc>
          <w:tcPr>
            <w:tcW w:w="8098"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2017年度决算数</w:t>
            </w:r>
          </w:p>
        </w:tc>
      </w:tr>
      <w:tr>
        <w:tblPrEx>
          <w:tblLayout w:type="fixed"/>
          <w:tblCellMar>
            <w:top w:w="0" w:type="dxa"/>
            <w:left w:w="108" w:type="dxa"/>
            <w:bottom w:w="0" w:type="dxa"/>
            <w:right w:w="108" w:type="dxa"/>
          </w:tblCellMar>
        </w:tblPrEx>
        <w:trPr>
          <w:trHeight w:val="570" w:hRule="atLeast"/>
          <w:jc w:val="center"/>
        </w:trPr>
        <w:tc>
          <w:tcPr>
            <w:tcW w:w="11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342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2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6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11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12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21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78"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5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116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1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6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78"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5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1161" w:type="dxa"/>
            <w:gridSpan w:val="2"/>
            <w:tcBorders>
              <w:top w:val="nil"/>
              <w:left w:val="single" w:color="auto" w:sz="4" w:space="0"/>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 xml:space="preserve">66263.88 </w:t>
            </w:r>
          </w:p>
        </w:tc>
        <w:tc>
          <w:tcPr>
            <w:tcW w:w="1080" w:type="dxa"/>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32322.15</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 xml:space="preserve">33941.73 </w:t>
            </w:r>
          </w:p>
        </w:tc>
        <w:tc>
          <w:tcPr>
            <w:tcW w:w="1126" w:type="dxa"/>
            <w:tcBorders>
              <w:top w:val="nil"/>
              <w:left w:val="nil"/>
              <w:bottom w:val="single" w:color="auto" w:sz="4" w:space="0"/>
              <w:right w:val="single" w:color="auto" w:sz="4" w:space="0"/>
            </w:tcBorders>
            <w:vAlign w:val="center"/>
          </w:tcPr>
          <w:p>
            <w:pPr>
              <w:rPr>
                <w:rFonts w:ascii="宋体" w:hAnsi="宋体" w:cs="Arial"/>
                <w:sz w:val="22"/>
                <w:szCs w:val="22"/>
              </w:rPr>
            </w:pPr>
            <w:r>
              <w:rPr>
                <w:rFonts w:hint="eastAsia" w:cs="Arial"/>
                <w:sz w:val="22"/>
                <w:szCs w:val="22"/>
              </w:rPr>
              <w:t>　</w:t>
            </w:r>
          </w:p>
        </w:tc>
        <w:tc>
          <w:tcPr>
            <w:tcW w:w="1214" w:type="dxa"/>
            <w:gridSpan w:val="2"/>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33941.73</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 xml:space="preserve">66263.88 </w:t>
            </w:r>
          </w:p>
        </w:tc>
        <w:tc>
          <w:tcPr>
            <w:tcW w:w="1162" w:type="dxa"/>
            <w:gridSpan w:val="2"/>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32322.15</w:t>
            </w:r>
          </w:p>
        </w:tc>
        <w:tc>
          <w:tcPr>
            <w:tcW w:w="1178" w:type="dxa"/>
            <w:gridSpan w:val="2"/>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 xml:space="preserve">33941.73 </w:t>
            </w:r>
          </w:p>
        </w:tc>
        <w:tc>
          <w:tcPr>
            <w:tcW w:w="1354" w:type="dxa"/>
            <w:gridSpan w:val="2"/>
            <w:tcBorders>
              <w:top w:val="nil"/>
              <w:left w:val="nil"/>
              <w:bottom w:val="single" w:color="auto" w:sz="4" w:space="0"/>
              <w:right w:val="single" w:color="auto" w:sz="4" w:space="0"/>
            </w:tcBorders>
            <w:vAlign w:val="center"/>
          </w:tcPr>
          <w:p>
            <w:pPr>
              <w:rPr>
                <w:rFonts w:ascii="宋体" w:hAnsi="宋体" w:cs="Arial"/>
                <w:sz w:val="22"/>
                <w:szCs w:val="22"/>
              </w:rPr>
            </w:pPr>
            <w:r>
              <w:rPr>
                <w:rFonts w:hint="eastAsia" w:cs="Arial"/>
                <w:sz w:val="22"/>
                <w:szCs w:val="22"/>
              </w:rPr>
              <w:t>　</w:t>
            </w:r>
          </w:p>
        </w:tc>
        <w:tc>
          <w:tcPr>
            <w:tcW w:w="1824" w:type="dxa"/>
            <w:gridSpan w:val="2"/>
            <w:tcBorders>
              <w:top w:val="nil"/>
              <w:left w:val="nil"/>
              <w:bottom w:val="single" w:color="auto" w:sz="4" w:space="0"/>
              <w:right w:val="single" w:color="auto" w:sz="4" w:space="0"/>
            </w:tcBorders>
            <w:vAlign w:val="center"/>
          </w:tcPr>
          <w:p>
            <w:pPr>
              <w:jc w:val="right"/>
              <w:rPr>
                <w:rFonts w:ascii="宋体" w:hAnsi="宋体" w:cs="Arial"/>
                <w:sz w:val="22"/>
                <w:szCs w:val="22"/>
              </w:rPr>
            </w:pPr>
            <w:r>
              <w:rPr>
                <w:rFonts w:hint="eastAsia" w:cs="Arial"/>
                <w:sz w:val="22"/>
                <w:szCs w:val="22"/>
              </w:rPr>
              <w:t>33941.73</w:t>
            </w:r>
          </w:p>
        </w:tc>
        <w:tc>
          <w:tcPr>
            <w:tcW w:w="132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注：2017年度预算数为“三公”经费年初预算数，决算数是包括当年财政拨款预算和以前年度结转结余资金安排的实际支出，数据取自CS05表。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96F94"/>
    <w:rsid w:val="09796F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2018-10-08T03:40:00Z</dcterms:created>
  <dc:creator>涂丽秋</dc:creator>
  <cp:lastModifiedBy>涂丽秋</cp:lastModifiedBy>
  <dcterms:modified xsi:type="dcterms:W3CDTF">2018-10-08T03:41:31Z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