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金凤区关于自治区和银川市实施乡村振兴战略2021年和2022年综合考评奖励资金</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44"/>
          <w:szCs w:val="44"/>
          <w:lang w:val="en-US" w:eastAsia="zh-CN"/>
        </w:rPr>
      </w:pPr>
      <w:r>
        <w:rPr>
          <w:rFonts w:hint="eastAsia" w:ascii="方正小标宋_GBK" w:hAnsi="方正小标宋_GBK" w:eastAsia="方正小标宋_GBK" w:cs="方正小标宋_GBK"/>
          <w:sz w:val="44"/>
          <w:szCs w:val="44"/>
          <w:lang w:val="en-US" w:eastAsia="zh-CN"/>
        </w:rPr>
        <w:t>分配使用计划</w:t>
      </w:r>
      <w:r>
        <w:rPr>
          <w:rFonts w:hint="eastAsia" w:ascii="方正小标宋_GBK" w:hAnsi="方正小标宋_GBK" w:eastAsia="方正小标宋_GBK" w:cs="方正小标宋_GBK"/>
          <w:sz w:val="44"/>
          <w:szCs w:val="44"/>
          <w:lang w:val="en-US" w:eastAsia="zh-CN"/>
        </w:rPr>
        <w:br w:type="textWrapping"/>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为贯彻党的二十大精神和习近平总书记关于“三农”工作的重要论述及视察宁夏重要讲话精神，围绕自治区第十三次党代会确定的目标任务，按照金凤区党委、政府关于2023年度乡村振兴重点工作安排部署，持续巩固拓展脱贫攻坚成果，推动产业发展提档升级，持续改善农村基础设施，制定以下奖励资金分配使用计划。</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资金来源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自治区实施乡村振兴战略2021年综合考评中，我区获得“实施乡村振兴战略先进集体三等奖”，奖励资金100万元；2023年，自治区实施乡村振兴战略2022年综合考评中，我区获得“实施乡村振兴战略先进集体三等奖”，奖励资金100万元；2023年，银川市实施乡村振兴战略综合考评，我区获得二等奖，奖励资金150万元。以上乡村振兴战略综合考评奖励资金共计350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二、资金使用要求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自治区和银川市实施乡村振兴战略考核奖励资金主要用于持续巩固拓展脱贫攻坚成果全面推进乡村振兴方面，重点用于补齐农村基础设施短板持续改善农村生产生活面貌，推进产业发展提档升级，夯实产业振兴基础，全面推进移民致富提升行动，落实自治区、银川市和金凤区关于“三农”工作的各项决策部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三、资金使用和分配计划</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beforeAutospacing="0"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本次奖补资金350万元，分配良田镇212万元，用于2023年良田镇移民庄点给水提升改造工程，该项目在</w:t>
      </w:r>
      <w:r>
        <w:rPr>
          <w:rFonts w:hint="eastAsia" w:ascii="仿宋_GB2312" w:hAnsi="仿宋_GB2312" w:eastAsia="仿宋_GB2312" w:cs="仿宋_GB2312"/>
          <w:sz w:val="32"/>
          <w:szCs w:val="32"/>
          <w:lang w:eastAsia="zh-CN"/>
        </w:rPr>
        <w:t>《金凤区</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年第二批巩固拓展脱贫攻坚成果和乡村振兴项目实施和资金分配计划》（金农办发〔</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17号</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b w:val="0"/>
          <w:bCs w:val="0"/>
          <w:sz w:val="32"/>
          <w:szCs w:val="32"/>
          <w:lang w:val="en-US" w:eastAsia="zh-CN"/>
        </w:rPr>
        <w:t>已安排2023年自治区衔接资金546万元，主要对兴源村1、3、4、5、7、9、10队和泾龙村5、6队8个保留庄点农户自来水入户改造，覆盖农户1029户，持续巩固饮水安全成果；分配丰登镇138万元，用于2022年丰登镇和丰村设施农业产业园建设项目，补齐该项目2022年12月审计结算后差额资金147.184927万元（其中不足的9.184927万元从本级配套置换出的该项目2022年衔接资金超支付管理费9.24万元中列支），进一步产业发展提档升级。具体分配计划如下：</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1.安排良田镇212万元，</w:t>
      </w:r>
      <w:r>
        <w:rPr>
          <w:rFonts w:hint="eastAsia" w:ascii="仿宋_GB2312" w:hAnsi="仿宋_GB2312" w:eastAsia="仿宋_GB2312" w:cs="仿宋_GB2312"/>
          <w:b w:val="0"/>
          <w:bCs w:val="0"/>
          <w:sz w:val="32"/>
          <w:szCs w:val="32"/>
          <w:lang w:val="en-US" w:eastAsia="zh-CN"/>
        </w:rPr>
        <w:t>用于2023年良田镇移民庄点给水提升改造工程。</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2.安排丰登镇138万元，</w:t>
      </w:r>
      <w:r>
        <w:rPr>
          <w:rFonts w:hint="eastAsia" w:ascii="仿宋_GB2312" w:hAnsi="仿宋_GB2312" w:eastAsia="仿宋_GB2312" w:cs="仿宋_GB2312"/>
          <w:b w:val="0"/>
          <w:bCs w:val="0"/>
          <w:sz w:val="32"/>
          <w:szCs w:val="32"/>
          <w:lang w:val="en-US" w:eastAsia="zh-CN"/>
        </w:rPr>
        <w:t>用于2022年丰登镇和丰村设施农业产业园建设项目。</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以上两个项目将本次奖补资金350万元分配完毕。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四、相关要求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（一）强化资金管理。</w:t>
      </w:r>
      <w:r>
        <w:rPr>
          <w:rFonts w:hint="eastAsia" w:ascii="仿宋_GB2312" w:hAnsi="仿宋_GB2312" w:eastAsia="仿宋_GB2312" w:cs="仿宋_GB2312"/>
          <w:sz w:val="32"/>
          <w:szCs w:val="32"/>
          <w:lang w:val="en-US" w:eastAsia="zh-CN"/>
        </w:rPr>
        <w:t>全面落实公开公示制，</w:t>
      </w:r>
      <w:r>
        <w:rPr>
          <w:rFonts w:hint="eastAsia" w:ascii="仿宋_GB2312" w:hAnsi="仿宋_GB2312" w:eastAsia="仿宋_GB2312" w:cs="仿宋_GB2312"/>
          <w:sz w:val="32"/>
          <w:szCs w:val="32"/>
          <w:lang w:eastAsia="zh-CN"/>
        </w:rPr>
        <w:t>项目实施全过程要</w:t>
      </w:r>
      <w:r>
        <w:rPr>
          <w:rFonts w:hint="eastAsia" w:ascii="仿宋_GB2312" w:hAnsi="仿宋_GB2312" w:eastAsia="仿宋_GB2312" w:cs="仿宋_GB2312"/>
          <w:sz w:val="32"/>
          <w:szCs w:val="32"/>
        </w:rPr>
        <w:t>认真落实</w:t>
      </w:r>
      <w:r>
        <w:rPr>
          <w:rFonts w:hint="eastAsia" w:ascii="仿宋_GB2312" w:hAnsi="仿宋_GB2312" w:eastAsia="仿宋_GB2312" w:cs="仿宋_GB2312"/>
          <w:sz w:val="32"/>
          <w:szCs w:val="32"/>
          <w:lang w:eastAsia="zh-CN"/>
        </w:rPr>
        <w:t>“四议两公开”</w:t>
      </w:r>
      <w:r>
        <w:rPr>
          <w:rFonts w:hint="eastAsia" w:ascii="仿宋_GB2312" w:hAnsi="仿宋_GB2312" w:eastAsia="仿宋_GB2312" w:cs="仿宋_GB2312"/>
          <w:sz w:val="32"/>
          <w:szCs w:val="32"/>
        </w:rPr>
        <w:t>“三级公开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三级报备”制度，</w:t>
      </w:r>
      <w:r>
        <w:rPr>
          <w:rFonts w:hint="eastAsia" w:ascii="仿宋_GB2312" w:hAnsi="仿宋_GB2312" w:eastAsia="仿宋_GB2312" w:cs="仿宋_GB2312"/>
          <w:sz w:val="32"/>
          <w:szCs w:val="32"/>
          <w:lang w:eastAsia="zh-CN"/>
        </w:rPr>
        <w:t>项目实施及绩效目标进度履行“事前、事中、事后”公开公示制度，镇（街道）和村（社区）</w:t>
      </w:r>
      <w:r>
        <w:rPr>
          <w:rFonts w:hint="eastAsia" w:ascii="仿宋_GB2312" w:hAnsi="仿宋_GB2312" w:eastAsia="仿宋_GB2312" w:cs="仿宋_GB2312"/>
          <w:sz w:val="32"/>
          <w:szCs w:val="32"/>
        </w:rPr>
        <w:t>两级</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申报、实施、</w:t>
      </w:r>
      <w:r>
        <w:rPr>
          <w:rFonts w:hint="eastAsia" w:ascii="仿宋_GB2312" w:hAnsi="仿宋_GB2312" w:eastAsia="仿宋_GB2312" w:cs="仿宋_GB2312"/>
          <w:sz w:val="32"/>
          <w:szCs w:val="32"/>
        </w:rPr>
        <w:t>资金使用结果和</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rPr>
        <w:t>一律公告公示，接受群众和社会监督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公示主体留存相关公示公告影像资料备查。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2"/>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sz w:val="32"/>
          <w:szCs w:val="32"/>
          <w:lang w:val="en-US" w:eastAsia="zh-CN"/>
        </w:rPr>
        <w:t>（二）强化项目管理。</w:t>
      </w:r>
      <w:r>
        <w:rPr>
          <w:rFonts w:hint="eastAsia" w:ascii="仿宋_GB2312" w:hAnsi="仿宋_GB2312" w:eastAsia="仿宋_GB2312" w:cs="仿宋_GB2312"/>
          <w:sz w:val="32"/>
          <w:szCs w:val="32"/>
          <w:lang w:val="en-US" w:eastAsia="zh-CN"/>
        </w:rPr>
        <w:t>建立多方监督监管机制。</w:t>
      </w:r>
      <w:r>
        <w:rPr>
          <w:rFonts w:hint="eastAsia" w:ascii="仿宋_GB2312" w:hAnsi="仿宋_GB2312" w:eastAsia="仿宋_GB2312" w:cs="仿宋_GB2312"/>
          <w:sz w:val="32"/>
          <w:szCs w:val="32"/>
          <w:lang w:eastAsia="zh-CN"/>
        </w:rPr>
        <w:t>落实各级资金监管责任，加强对项目资金计划执行、资金使</w:t>
      </w:r>
      <w:r>
        <w:rPr>
          <w:rFonts w:hint="eastAsia" w:ascii="仿宋_GB2312" w:hAnsi="仿宋_GB2312" w:eastAsia="仿宋_GB2312" w:cs="仿宋_GB2312"/>
          <w:sz w:val="32"/>
          <w:szCs w:val="32"/>
        </w:rPr>
        <w:t>用、财务管理等环节的监督、检查。审计、</w:t>
      </w:r>
      <w:r>
        <w:rPr>
          <w:rFonts w:hint="eastAsia" w:ascii="仿宋_GB2312" w:hAnsi="仿宋_GB2312" w:eastAsia="仿宋_GB2312" w:cs="仿宋_GB2312"/>
          <w:sz w:val="32"/>
          <w:szCs w:val="32"/>
          <w:lang w:eastAsia="zh-CN"/>
        </w:rPr>
        <w:t>纪委监委、</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及乡村振兴</w:t>
      </w:r>
      <w:r>
        <w:rPr>
          <w:rFonts w:hint="eastAsia" w:ascii="仿宋_GB2312" w:hAnsi="仿宋_GB2312" w:eastAsia="仿宋_GB2312" w:cs="仿宋_GB2312"/>
          <w:sz w:val="32"/>
          <w:szCs w:val="32"/>
        </w:rPr>
        <w:t>等部门定期</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专项审计和随机抽查，</w:t>
      </w:r>
      <w:r>
        <w:rPr>
          <w:rFonts w:hint="eastAsia" w:ascii="仿宋_GB2312" w:hAnsi="仿宋_GB2312" w:eastAsia="仿宋_GB2312" w:cs="仿宋_GB2312"/>
          <w:sz w:val="32"/>
          <w:szCs w:val="32"/>
          <w:lang w:eastAsia="zh-CN"/>
        </w:rPr>
        <w:t>建立定期报告及通报制度，</w:t>
      </w:r>
      <w:r>
        <w:rPr>
          <w:rFonts w:hint="eastAsia" w:ascii="仿宋_GB2312" w:hAnsi="仿宋_GB2312" w:eastAsia="仿宋_GB2312" w:cs="仿宋_GB2312"/>
          <w:sz w:val="32"/>
          <w:szCs w:val="32"/>
        </w:rPr>
        <w:t>及时发现并</w:t>
      </w:r>
      <w:r>
        <w:rPr>
          <w:rFonts w:hint="eastAsia" w:ascii="仿宋_GB2312" w:hAnsi="仿宋_GB2312" w:eastAsia="仿宋_GB2312" w:cs="仿宋_GB2312"/>
          <w:sz w:val="32"/>
          <w:szCs w:val="32"/>
          <w:lang w:eastAsia="zh-CN"/>
        </w:rPr>
        <w:t>督促</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项目建设进度慢、资金执行率低、资金使用中</w:t>
      </w:r>
      <w:r>
        <w:rPr>
          <w:rFonts w:hint="eastAsia" w:ascii="仿宋_GB2312" w:hAnsi="仿宋_GB2312" w:eastAsia="仿宋_GB2312" w:cs="仿宋_GB2312"/>
          <w:sz w:val="32"/>
          <w:szCs w:val="32"/>
        </w:rPr>
        <w:t>违纪违规问题</w:t>
      </w:r>
      <w:r>
        <w:rPr>
          <w:rFonts w:hint="eastAsia" w:ascii="仿宋_GB2312" w:hAnsi="仿宋_GB2312" w:eastAsia="仿宋_GB2312" w:cs="仿宋_GB2312"/>
          <w:color w:val="000000"/>
          <w:sz w:val="32"/>
          <w:szCs w:val="32"/>
          <w:lang w:val="en-US" w:eastAsia="zh-CN"/>
        </w:rPr>
        <w:t>，通报结果报送区委、政府和纪委监委。</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2"/>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（三）强化督导检查。</w:t>
      </w:r>
      <w:r>
        <w:rPr>
          <w:rFonts w:hint="eastAsia" w:ascii="仿宋_GB2312" w:hAnsi="仿宋_GB2312" w:eastAsia="仿宋_GB2312" w:cs="仿宋_GB2312"/>
          <w:sz w:val="32"/>
          <w:szCs w:val="32"/>
          <w:lang w:val="en-US" w:eastAsia="zh-CN"/>
        </w:rPr>
        <w:t>强化项目建设日常监督作用，</w:t>
      </w:r>
      <w:r>
        <w:rPr>
          <w:rFonts w:hint="eastAsia" w:ascii="仿宋_GB2312" w:hAnsi="仿宋_GB2312" w:eastAsia="仿宋_GB2312" w:cs="仿宋_GB2312"/>
          <w:sz w:val="32"/>
          <w:szCs w:val="32"/>
        </w:rPr>
        <w:t>坚决杜绝和从严查处挤占挪用、截留贪污、虚报冒领、挥霍浪费等违规违纪现象和行为。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滞留、挤占、挪用和超比例结余衔接资金，擅自扩大开支范围或改变衔接资金性质和用途的，将依据国务院《财政违法行为处罚条例》（国务院427令）等有关法规和制度严肃查处。</w:t>
      </w:r>
    </w:p>
    <w:p>
      <w:pPr>
        <w:pStyle w:val="7"/>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right="0" w:rightChars="0"/>
        <w:textAlignment w:val="auto"/>
        <w:outlineLvl w:val="9"/>
        <w:rPr>
          <w:rFonts w:hint="eastAsia" w:ascii="仿宋_GB2312" w:hAnsi="仿宋_GB2312" w:eastAsia="仿宋_GB2312" w:cs="仿宋_GB2312"/>
          <w:kern w:val="2"/>
          <w:sz w:val="32"/>
          <w:szCs w:val="32"/>
          <w:lang w:val="en-US" w:eastAsia="zh-CN"/>
        </w:rPr>
      </w:pPr>
      <w:r>
        <w:rPr>
          <w:rFonts w:hint="eastAsia"/>
          <w:lang w:val="en-US" w:eastAsia="zh-CN"/>
        </w:rPr>
        <w:t xml:space="preserve"> </w:t>
      </w:r>
      <w:r>
        <w:rPr>
          <w:rFonts w:hint="eastAsia" w:ascii="仿宋_GB2312" w:hAnsi="仿宋_GB2312" w:eastAsia="仿宋_GB2312" w:cs="仿宋_GB2312"/>
          <w:kern w:val="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1598" w:leftChars="304" w:right="0" w:rightChars="0" w:hanging="960" w:hangingChars="300"/>
        <w:jc w:val="both"/>
        <w:textAlignment w:val="auto"/>
        <w:outlineLvl w:val="9"/>
        <w:rPr>
          <w:rFonts w:hint="eastAsia" w:ascii="仿宋_GB2312" w:hAnsi="仿宋_GB2312" w:eastAsia="仿宋_GB2312" w:cs="仿宋_GB2312"/>
          <w:b w:val="0"/>
          <w:bCs w:val="0"/>
          <w:sz w:val="32"/>
          <w:szCs w:val="32"/>
          <w:lang w:val="en-US" w:eastAsia="zh-CN"/>
        </w:rPr>
        <w:sectPr>
          <w:footerReference r:id="rId3" w:type="default"/>
          <w:pgSz w:w="11906" w:h="16838"/>
          <w:pgMar w:top="1440" w:right="1800" w:bottom="1440" w:left="1800" w:header="851" w:footer="992" w:gutter="0"/>
          <w:pgNumType w:fmt="numberInDash" w:start="2"/>
          <w:cols w:space="720" w:num="1"/>
          <w:docGrid w:type="lines" w:linePitch="312" w:charSpace="0"/>
        </w:sectPr>
      </w:pPr>
      <w:r>
        <w:rPr>
          <w:rFonts w:hint="eastAsia" w:ascii="仿宋_GB2312" w:hAnsi="仿宋_GB2312" w:eastAsia="仿宋_GB2312" w:cs="仿宋_GB2312"/>
          <w:kern w:val="2"/>
          <w:sz w:val="32"/>
          <w:szCs w:val="32"/>
          <w:lang w:val="en-US" w:eastAsia="zh-CN"/>
        </w:rPr>
        <w:t>附件：金凤区关于自治区和银川市实施乡村振兴战略2021年-2022年综合考评奖励资金分配使用计划表</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0"/>
        <w:gridCol w:w="1590"/>
        <w:gridCol w:w="1125"/>
        <w:gridCol w:w="1110"/>
        <w:gridCol w:w="1005"/>
        <w:gridCol w:w="750"/>
        <w:gridCol w:w="1065"/>
        <w:gridCol w:w="1227"/>
        <w:gridCol w:w="168"/>
        <w:gridCol w:w="3672"/>
        <w:gridCol w:w="138"/>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810"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SA"/>
              </w:rPr>
              <w:t>附件</w:t>
            </w:r>
          </w:p>
        </w:tc>
        <w:tc>
          <w:tcPr>
            <w:tcW w:w="1590" w:type="dxa"/>
            <w:noWrap w:val="0"/>
            <w:vAlign w:val="center"/>
          </w:tcPr>
          <w:p>
            <w:pPr>
              <w:rPr>
                <w:rFonts w:hint="eastAsia" w:ascii="宋体" w:hAnsi="宋体" w:eastAsia="宋体" w:cs="宋体"/>
                <w:i w:val="0"/>
                <w:color w:val="000000"/>
                <w:sz w:val="22"/>
                <w:szCs w:val="22"/>
                <w:u w:val="none"/>
              </w:rPr>
            </w:pPr>
          </w:p>
        </w:tc>
        <w:tc>
          <w:tcPr>
            <w:tcW w:w="1125" w:type="dxa"/>
            <w:noWrap w:val="0"/>
            <w:vAlign w:val="center"/>
          </w:tcPr>
          <w:p>
            <w:pPr>
              <w:rPr>
                <w:rFonts w:hint="eastAsia" w:ascii="宋体" w:hAnsi="宋体" w:eastAsia="宋体" w:cs="宋体"/>
                <w:i w:val="0"/>
                <w:color w:val="000000"/>
                <w:sz w:val="22"/>
                <w:szCs w:val="22"/>
                <w:u w:val="none"/>
              </w:rPr>
            </w:pPr>
          </w:p>
        </w:tc>
        <w:tc>
          <w:tcPr>
            <w:tcW w:w="1110" w:type="dxa"/>
            <w:noWrap w:val="0"/>
            <w:vAlign w:val="center"/>
          </w:tcPr>
          <w:p>
            <w:pPr>
              <w:rPr>
                <w:rFonts w:hint="eastAsia" w:ascii="宋体" w:hAnsi="宋体" w:eastAsia="宋体" w:cs="宋体"/>
                <w:i w:val="0"/>
                <w:color w:val="000000"/>
                <w:sz w:val="22"/>
                <w:szCs w:val="22"/>
                <w:u w:val="none"/>
              </w:rPr>
            </w:pPr>
          </w:p>
        </w:tc>
        <w:tc>
          <w:tcPr>
            <w:tcW w:w="1005" w:type="dxa"/>
            <w:noWrap w:val="0"/>
            <w:vAlign w:val="center"/>
          </w:tcPr>
          <w:p>
            <w:pPr>
              <w:rPr>
                <w:rFonts w:hint="eastAsia" w:ascii="宋体" w:hAnsi="宋体" w:eastAsia="宋体" w:cs="宋体"/>
                <w:i w:val="0"/>
                <w:color w:val="000000"/>
                <w:sz w:val="22"/>
                <w:szCs w:val="22"/>
                <w:u w:val="none"/>
              </w:rPr>
            </w:pPr>
          </w:p>
        </w:tc>
        <w:tc>
          <w:tcPr>
            <w:tcW w:w="750" w:type="dxa"/>
            <w:noWrap w:val="0"/>
            <w:vAlign w:val="center"/>
          </w:tcPr>
          <w:p>
            <w:pPr>
              <w:rPr>
                <w:rFonts w:hint="eastAsia" w:ascii="宋体" w:hAnsi="宋体" w:eastAsia="宋体" w:cs="宋体"/>
                <w:i w:val="0"/>
                <w:color w:val="000000"/>
                <w:sz w:val="22"/>
                <w:szCs w:val="22"/>
                <w:u w:val="none"/>
              </w:rPr>
            </w:pPr>
          </w:p>
        </w:tc>
        <w:tc>
          <w:tcPr>
            <w:tcW w:w="1065" w:type="dxa"/>
            <w:noWrap w:val="0"/>
            <w:vAlign w:val="center"/>
          </w:tcPr>
          <w:p>
            <w:pPr>
              <w:rPr>
                <w:rFonts w:hint="eastAsia" w:ascii="宋体" w:hAnsi="宋体" w:eastAsia="宋体" w:cs="宋体"/>
                <w:i w:val="0"/>
                <w:color w:val="000000"/>
                <w:sz w:val="22"/>
                <w:szCs w:val="22"/>
                <w:u w:val="none"/>
              </w:rPr>
            </w:pPr>
          </w:p>
        </w:tc>
        <w:tc>
          <w:tcPr>
            <w:tcW w:w="1227" w:type="dxa"/>
            <w:noWrap w:val="0"/>
            <w:vAlign w:val="center"/>
          </w:tcPr>
          <w:p>
            <w:pPr>
              <w:rPr>
                <w:rFonts w:hint="eastAsia" w:ascii="宋体" w:hAnsi="宋体" w:eastAsia="宋体" w:cs="宋体"/>
                <w:i w:val="0"/>
                <w:color w:val="000000"/>
                <w:sz w:val="22"/>
                <w:szCs w:val="22"/>
                <w:u w:val="none"/>
              </w:rPr>
            </w:pPr>
          </w:p>
        </w:tc>
        <w:tc>
          <w:tcPr>
            <w:tcW w:w="3840" w:type="dxa"/>
            <w:gridSpan w:val="2"/>
            <w:noWrap w:val="0"/>
            <w:vAlign w:val="center"/>
          </w:tcPr>
          <w:p>
            <w:pPr>
              <w:rPr>
                <w:rFonts w:hint="eastAsia" w:ascii="宋体" w:hAnsi="宋体" w:eastAsia="宋体" w:cs="宋体"/>
                <w:i w:val="0"/>
                <w:color w:val="000000"/>
                <w:sz w:val="22"/>
                <w:szCs w:val="22"/>
                <w:u w:val="none"/>
              </w:rPr>
            </w:pPr>
          </w:p>
        </w:tc>
        <w:tc>
          <w:tcPr>
            <w:tcW w:w="1818" w:type="dxa"/>
            <w:gridSpan w:val="2"/>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4340" w:type="dxa"/>
            <w:gridSpan w:val="12"/>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SA"/>
              </w:rPr>
              <w:t>金凤区关于自治区和银川市实施乡村振兴战略2021年-2022年综合考评奖励资金分配使用计划表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序号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资金来源</w:t>
            </w:r>
          </w:p>
        </w:tc>
        <w:tc>
          <w:tcPr>
            <w:tcW w:w="112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指标文号</w:t>
            </w:r>
          </w:p>
        </w:tc>
        <w:tc>
          <w:tcPr>
            <w:tcW w:w="1110"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下达资金</w:t>
            </w:r>
            <w:r>
              <w:rPr>
                <w:rFonts w:hint="eastAsia" w:ascii="宋体" w:hAnsi="宋体" w:eastAsia="宋体" w:cs="宋体"/>
                <w:b/>
                <w:i w:val="0"/>
                <w:color w:val="000000"/>
                <w:kern w:val="0"/>
                <w:sz w:val="20"/>
                <w:szCs w:val="20"/>
                <w:u w:val="none"/>
                <w:lang w:val="en-US" w:eastAsia="zh-CN" w:bidi="ar-SA"/>
              </w:rPr>
              <w:br w:type="textWrapping"/>
            </w:r>
            <w:r>
              <w:rPr>
                <w:rFonts w:hint="eastAsia" w:ascii="宋体" w:hAnsi="宋体" w:eastAsia="宋体" w:cs="宋体"/>
                <w:b/>
                <w:i w:val="0"/>
                <w:color w:val="000000"/>
                <w:kern w:val="0"/>
                <w:sz w:val="20"/>
                <w:szCs w:val="20"/>
                <w:u w:val="none"/>
                <w:lang w:val="en-US" w:eastAsia="zh-CN" w:bidi="ar-SA"/>
              </w:rPr>
              <w:t>（万元）</w:t>
            </w:r>
          </w:p>
        </w:tc>
        <w:tc>
          <w:tcPr>
            <w:tcW w:w="100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合计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分配单位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分配资金</w:t>
            </w:r>
            <w:r>
              <w:rPr>
                <w:rFonts w:hint="eastAsia" w:ascii="宋体" w:hAnsi="宋体" w:eastAsia="宋体" w:cs="宋体"/>
                <w:b/>
                <w:i w:val="0"/>
                <w:color w:val="000000"/>
                <w:kern w:val="0"/>
                <w:sz w:val="20"/>
                <w:szCs w:val="20"/>
                <w:u w:val="none"/>
                <w:lang w:val="en-US" w:eastAsia="zh-CN" w:bidi="ar-SA"/>
              </w:rPr>
              <w:br w:type="textWrapping"/>
            </w:r>
            <w:r>
              <w:rPr>
                <w:rFonts w:hint="eastAsia" w:ascii="宋体" w:hAnsi="宋体" w:eastAsia="宋体" w:cs="宋体"/>
                <w:b/>
                <w:i w:val="0"/>
                <w:color w:val="000000"/>
                <w:kern w:val="0"/>
                <w:sz w:val="20"/>
                <w:szCs w:val="20"/>
                <w:u w:val="none"/>
                <w:lang w:val="en-US" w:eastAsia="zh-CN" w:bidi="ar-SA"/>
              </w:rPr>
              <w:t>（万元）</w:t>
            </w: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项目名称</w:t>
            </w:r>
          </w:p>
        </w:tc>
        <w:tc>
          <w:tcPr>
            <w:tcW w:w="3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项目建设规模及内容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8"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自治区实施乡村振兴战略2021年综合考评奖励资金</w:t>
            </w:r>
          </w:p>
        </w:tc>
        <w:tc>
          <w:tcPr>
            <w:tcW w:w="112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宁（农）财指标〔2022〕38号</w:t>
            </w:r>
          </w:p>
        </w:tc>
        <w:tc>
          <w:tcPr>
            <w:tcW w:w="1110"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100</w:t>
            </w:r>
          </w:p>
        </w:tc>
        <w:tc>
          <w:tcPr>
            <w:tcW w:w="1005" w:type="dxa"/>
            <w:vMerge w:val="restar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350</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良田镇</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212</w:t>
            </w:r>
          </w:p>
        </w:tc>
        <w:tc>
          <w:tcPr>
            <w:tcW w:w="13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2023年良田镇移民庄点给水提升改造工程</w:t>
            </w:r>
          </w:p>
        </w:tc>
        <w:tc>
          <w:tcPr>
            <w:tcW w:w="38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用于2023年良田镇移民庄点给水提升改造工程，该项目中标价761万元，已安排衔接资金546万元，本次安排乡村振兴战略考核奖励资金212万元。</w:t>
            </w:r>
            <w:r>
              <w:rPr>
                <w:rFonts w:hint="eastAsia" w:ascii="宋体" w:hAnsi="宋体" w:cs="宋体"/>
                <w:i w:val="0"/>
                <w:color w:val="000000"/>
                <w:kern w:val="0"/>
                <w:sz w:val="20"/>
                <w:szCs w:val="20"/>
                <w:u w:val="none"/>
                <w:lang w:val="en-US" w:eastAsia="zh-CN" w:bidi="ar-SA"/>
              </w:rPr>
              <w:t>共计安排资金758万元，</w:t>
            </w:r>
            <w:r>
              <w:rPr>
                <w:rFonts w:hint="eastAsia" w:ascii="宋体" w:hAnsi="宋体" w:eastAsia="宋体" w:cs="宋体"/>
                <w:i w:val="0"/>
                <w:color w:val="000000"/>
                <w:kern w:val="0"/>
                <w:sz w:val="20"/>
                <w:szCs w:val="20"/>
                <w:u w:val="none"/>
                <w:lang w:val="en-US" w:eastAsia="zh-CN" w:bidi="ar-SA"/>
              </w:rPr>
              <w:t>主要对兴源村1、3、4、5、7、9、10队和泾龙村5、6队8个保留庄点农户自来水入户改造，覆盖农户1029户，持续巩固饮水安全成果。</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《金凤区2023年第二批巩固拓展脱贫攻坚成果和乡村振兴项目实施和资金分配计划》（金农办发〔2023〕17号）已安排自治区衔接资金546万元。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3"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自治区实施乡村振兴战略2022年综合考评奖励资金</w:t>
            </w:r>
          </w:p>
        </w:tc>
        <w:tc>
          <w:tcPr>
            <w:tcW w:w="112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宁（农）财指标〔2023〕91号</w:t>
            </w:r>
          </w:p>
        </w:tc>
        <w:tc>
          <w:tcPr>
            <w:tcW w:w="1110"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100</w:t>
            </w:r>
          </w:p>
        </w:tc>
        <w:tc>
          <w:tcPr>
            <w:tcW w:w="1005" w:type="dxa"/>
            <w:vMerge w:val="continue"/>
            <w:tcBorders>
              <w:top w:val="single" w:color="000000" w:sz="4" w:space="0"/>
              <w:left w:val="single" w:color="000000" w:sz="4" w:space="0"/>
              <w:bottom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8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1"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银川市实施乡村振兴战略2022年综合考评奖励资金</w:t>
            </w:r>
          </w:p>
        </w:tc>
        <w:tc>
          <w:tcPr>
            <w:tcW w:w="112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银财指标〔2023〕1号</w:t>
            </w:r>
          </w:p>
        </w:tc>
        <w:tc>
          <w:tcPr>
            <w:tcW w:w="1110"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150</w:t>
            </w:r>
          </w:p>
        </w:tc>
        <w:tc>
          <w:tcPr>
            <w:tcW w:w="1005" w:type="dxa"/>
            <w:vMerge w:val="continue"/>
            <w:tcBorders>
              <w:top w:val="single" w:color="000000" w:sz="4" w:space="0"/>
              <w:left w:val="single" w:color="000000" w:sz="4" w:space="0"/>
              <w:bottom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丰登镇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138</w:t>
            </w: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2022年和丰村设施农业产业园建设项目</w:t>
            </w:r>
          </w:p>
        </w:tc>
        <w:tc>
          <w:tcPr>
            <w:tcW w:w="3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用于丰登镇2022年实施的和丰村设施农业产业园建设项目审计结算完成后资金不足部分。该项目审计结算审核</w:t>
            </w:r>
            <w:r>
              <w:rPr>
                <w:rFonts w:hint="eastAsia" w:ascii="宋体" w:hAnsi="宋体" w:cs="宋体"/>
                <w:i w:val="0"/>
                <w:color w:val="000000"/>
                <w:kern w:val="0"/>
                <w:sz w:val="20"/>
                <w:szCs w:val="20"/>
                <w:u w:val="none"/>
                <w:lang w:val="en-US" w:eastAsia="zh-CN" w:bidi="ar-SA"/>
              </w:rPr>
              <w:t>后</w:t>
            </w:r>
            <w:r>
              <w:rPr>
                <w:rFonts w:hint="eastAsia" w:ascii="宋体" w:hAnsi="宋体" w:eastAsia="宋体" w:cs="宋体"/>
                <w:i w:val="0"/>
                <w:color w:val="000000"/>
                <w:kern w:val="0"/>
                <w:sz w:val="20"/>
                <w:szCs w:val="20"/>
                <w:u w:val="none"/>
                <w:lang w:val="en-US" w:eastAsia="zh-CN" w:bidi="ar-SA"/>
              </w:rPr>
              <w:t>差额</w:t>
            </w:r>
            <w:r>
              <w:rPr>
                <w:rFonts w:hint="eastAsia" w:ascii="宋体" w:hAnsi="宋体" w:cs="宋体"/>
                <w:i w:val="0"/>
                <w:color w:val="000000"/>
                <w:kern w:val="0"/>
                <w:sz w:val="20"/>
                <w:szCs w:val="20"/>
                <w:u w:val="none"/>
                <w:lang w:val="en-US" w:eastAsia="zh-CN" w:bidi="ar-SA"/>
              </w:rPr>
              <w:t>资金</w:t>
            </w:r>
            <w:r>
              <w:rPr>
                <w:rFonts w:hint="eastAsia" w:ascii="宋体" w:hAnsi="宋体" w:eastAsia="宋体" w:cs="宋体"/>
                <w:i w:val="0"/>
                <w:color w:val="000000"/>
                <w:kern w:val="0"/>
                <w:sz w:val="20"/>
                <w:szCs w:val="20"/>
                <w:u w:val="none"/>
                <w:lang w:val="en-US" w:eastAsia="zh-CN" w:bidi="ar-SA"/>
              </w:rPr>
              <w:t>147</w:t>
            </w:r>
            <w:r>
              <w:rPr>
                <w:rFonts w:hint="eastAsia" w:ascii="宋体" w:hAnsi="宋体" w:cs="宋体"/>
                <w:i w:val="0"/>
                <w:color w:val="000000"/>
                <w:kern w:val="0"/>
                <w:sz w:val="20"/>
                <w:szCs w:val="20"/>
                <w:u w:val="none"/>
                <w:lang w:val="en-US" w:eastAsia="zh-CN" w:bidi="ar-SA"/>
              </w:rPr>
              <w:t>.184927</w:t>
            </w:r>
            <w:r>
              <w:rPr>
                <w:rFonts w:hint="eastAsia" w:ascii="宋体" w:hAnsi="宋体" w:eastAsia="宋体" w:cs="宋体"/>
                <w:i w:val="0"/>
                <w:color w:val="000000"/>
                <w:kern w:val="0"/>
                <w:sz w:val="20"/>
                <w:szCs w:val="20"/>
                <w:u w:val="none"/>
                <w:lang w:val="en-US" w:eastAsia="zh-CN" w:bidi="ar-SA"/>
              </w:rPr>
              <w:t>万元，本次安排乡村振兴</w:t>
            </w:r>
            <w:r>
              <w:rPr>
                <w:rFonts w:hint="eastAsia" w:ascii="宋体" w:hAnsi="宋体" w:cs="宋体"/>
                <w:i w:val="0"/>
                <w:color w:val="000000"/>
                <w:kern w:val="0"/>
                <w:sz w:val="20"/>
                <w:szCs w:val="20"/>
                <w:u w:val="none"/>
                <w:lang w:val="en-US" w:eastAsia="zh-CN" w:bidi="ar-SA"/>
              </w:rPr>
              <w:t>战略</w:t>
            </w:r>
            <w:r>
              <w:rPr>
                <w:rFonts w:hint="eastAsia" w:ascii="宋体" w:hAnsi="宋体" w:eastAsia="宋体" w:cs="宋体"/>
                <w:i w:val="0"/>
                <w:color w:val="000000"/>
                <w:kern w:val="0"/>
                <w:sz w:val="20"/>
                <w:szCs w:val="20"/>
                <w:u w:val="none"/>
                <w:lang w:val="en-US" w:eastAsia="zh-CN" w:bidi="ar-SA"/>
              </w:rPr>
              <w:t>考核奖励资金138万元，加上2022年置换出的衔接资金项目管理费9.24万元，共计147.24万元用于该项目差额部分。</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本项目2022年12月审计结算后差额资金147.184927万元。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kern w:val="2"/>
          <w:sz w:val="32"/>
          <w:szCs w:val="32"/>
          <w:lang w:val="en-US" w:eastAsia="zh-CN"/>
        </w:rPr>
      </w:pPr>
      <w:bookmarkStart w:id="0" w:name="_GoBack"/>
      <w:bookmarkEnd w:id="0"/>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047EF"/>
    <w:multiLevelType w:val="singleLevel"/>
    <w:tmpl w:val="64D047E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YTJlMmM1MGQ4Mzk1ZmU3MmY3YWUxZTNjY2IzMDIifQ=="/>
  </w:docVars>
  <w:rsids>
    <w:rsidRoot w:val="00000000"/>
    <w:rsid w:val="10A24B95"/>
    <w:rsid w:val="6C58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200" w:firstLineChars="200"/>
    </w:pPr>
    <w:rPr>
      <w:rFonts w:ascii="Times New Roman" w:hAnsi="Times New Roman" w:eastAsia="宋体"/>
      <w:szCs w:val="24"/>
    </w:rPr>
  </w:style>
  <w:style w:type="paragraph" w:styleId="3">
    <w:name w:val="Body Text"/>
    <w:basedOn w:val="1"/>
    <w:next w:val="4"/>
    <w:unhideWhenUsed/>
    <w:qFormat/>
    <w:uiPriority w:val="99"/>
    <w:pPr>
      <w:spacing w:before="0" w:after="140" w:line="276" w:lineRule="auto"/>
    </w:pPr>
  </w:style>
  <w:style w:type="paragraph" w:styleId="4">
    <w:name w:val="Body Text Indent 2"/>
    <w:basedOn w:val="1"/>
    <w:next w:val="1"/>
    <w:unhideWhenUsed/>
    <w:uiPriority w:val="99"/>
    <w:pPr>
      <w:tabs>
        <w:tab w:val="left" w:pos="8085"/>
      </w:tabs>
      <w:spacing w:line="480" w:lineRule="auto"/>
      <w:ind w:left="200" w:leftChars="200"/>
    </w:pPr>
  </w:style>
  <w:style w:type="paragraph" w:styleId="5">
    <w:name w:val="Body Text Indent"/>
    <w:basedOn w:val="1"/>
    <w:unhideWhenUsed/>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w:basedOn w:val="3"/>
    <w:next w:val="8"/>
    <w:unhideWhenUsed/>
    <w:qFormat/>
    <w:uiPriority w:val="99"/>
    <w:pPr>
      <w:spacing w:before="100" w:beforeAutospacing="1"/>
      <w:ind w:firstLine="420" w:firstLineChars="100"/>
    </w:pPr>
  </w:style>
  <w:style w:type="paragraph" w:styleId="8">
    <w:name w:val="Body Text First Indent 2"/>
    <w:basedOn w:val="5"/>
    <w:unhideWhenUsed/>
    <w:qFormat/>
    <w:uiPriority w:val="99"/>
    <w:pPr>
      <w:spacing w:before="100" w:beforeAutospacing="1" w:after="0"/>
      <w:ind w:left="0" w:firstLine="210" w:firstLineChars="200"/>
    </w:pPr>
    <w:rPr>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2023-08-29T02:10:00Z</dcterms:created>
  <dc:creator>Administrator</dc:creator>
  <cp:lastModifiedBy>千年</cp:lastModifiedBy>
  <dcterms:modified xsi:type="dcterms:W3CDTF">2023-08-29T02:34:00Z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AC1CC1FB80B24E7BA12FE9CA049EEFC7_12</vt:lpwstr>
  </property>
</Properties>
</file>