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金凤区2023年结余自治区衔接推进</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乡村振兴补助资金调整分配使用计划</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根据《宁夏回族自治区财政衔接推进乡村振兴补助资金管理办法》（宁财（农）发〔2021〕268号）和</w:t>
      </w:r>
      <w:r>
        <w:rPr>
          <w:rFonts w:hint="eastAsia" w:ascii="仿宋_GB2312" w:hAnsi="仿宋_GB2312" w:eastAsia="仿宋_GB2312" w:cs="仿宋_GB2312"/>
          <w:sz w:val="32"/>
          <w:szCs w:val="32"/>
          <w:highlight w:val="none"/>
          <w:lang w:val="en-US" w:eastAsia="zh-CN"/>
        </w:rPr>
        <w:t>《宁夏回族自治区衔接推进乡村振兴补助资金绩效评价及考核办法》（宁财（农）发〔2021〕525号）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color w:val="auto"/>
          <w:sz w:val="32"/>
          <w:szCs w:val="32"/>
          <w:lang w:eastAsia="zh-CN"/>
        </w:rPr>
        <w:t>结合我区</w:t>
      </w:r>
      <w:r>
        <w:rPr>
          <w:rFonts w:hint="eastAsia" w:ascii="仿宋_GB2312" w:hAnsi="仿宋_GB2312" w:eastAsia="仿宋_GB2312" w:cs="仿宋_GB2312"/>
          <w:color w:val="auto"/>
          <w:sz w:val="32"/>
          <w:szCs w:val="32"/>
          <w:lang w:val="en-US" w:eastAsia="zh-CN"/>
        </w:rPr>
        <w:t>2023年巩固拓展脱贫攻坚成果同乡村振兴有效衔接和移民致富提升行动项目建设实际情况，制定</w:t>
      </w:r>
      <w:r>
        <w:rPr>
          <w:rFonts w:hint="eastAsia" w:ascii="仿宋_GB2312" w:hAnsi="仿宋_GB2312" w:eastAsia="仿宋_GB2312" w:cs="仿宋_GB2312"/>
          <w:sz w:val="32"/>
          <w:szCs w:val="32"/>
          <w:lang w:val="en-US" w:eastAsia="zh-CN"/>
        </w:rPr>
        <w:t>金凤区2023年结余自治区衔接推进乡村振兴补助资金（以下简称“自治区衔接资金”）调整分配使用计划。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一、资金来源</w:t>
      </w:r>
    </w:p>
    <w:p>
      <w:pPr>
        <w:keepNext w:val="0"/>
        <w:keepLines w:val="0"/>
        <w:pageBreakBefore w:val="0"/>
        <w:widowControl w:val="0"/>
        <w:kinsoku/>
        <w:wordWrap/>
        <w:overflowPunct/>
        <w:topLinePunct w:val="0"/>
        <w:autoSpaceDE/>
        <w:autoSpaceDN/>
        <w:bidi w:val="0"/>
        <w:adjustRightInd/>
        <w:snapToGrid/>
        <w:spacing w:beforeAutospacing="0"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按照《金凤区2023年第二批巩固拓展脱贫攻坚成果和乡村振兴项目实施和资金分配计划》（金农办发〔2023〕17号）要求，</w:t>
      </w:r>
      <w:r>
        <w:rPr>
          <w:rFonts w:hint="eastAsia" w:ascii="仿宋_GB2312" w:hAnsi="仿宋_GB2312" w:eastAsia="仿宋_GB2312" w:cs="仿宋_GB2312"/>
          <w:sz w:val="32"/>
          <w:szCs w:val="32"/>
          <w:lang w:val="en-US" w:eastAsia="zh-CN"/>
        </w:rPr>
        <w:t>根据《长城中路街道办事处关于申请调整使用自治区衔接资金的请示》和《丰登镇人民政府关于申请调整使用自治区衔接资金的请示》，截至12月21日，长城中路街道已脱贫人口及监测对象乡村公益性岗位项目结余自治区衔接资金6.4488万元，丰登镇已脱贫人口及监测对象乡村公益性岗位项目结余自治区衔接资金7.4598万元，共计结余自治区衔接资金13.9086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二、调整分配使用计划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本次结余自治区衔接资金13.628万元调整分配到良田镇用于以下2个项目。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sz w:val="32"/>
          <w:szCs w:val="32"/>
          <w:lang w:val="en-US" w:eastAsia="zh-CN"/>
        </w:rPr>
        <w:t>已脱贫人口及“三类人员”监测对象2023年第四季度小额信贷贴息项目10.54396万元；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（2）</w:t>
      </w:r>
      <w:r>
        <w:rPr>
          <w:rFonts w:hint="eastAsia" w:ascii="仿宋_GB2312" w:hAnsi="仿宋_GB2312" w:eastAsia="仿宋_GB2312" w:cs="仿宋_GB2312"/>
          <w:sz w:val="32"/>
          <w:szCs w:val="32"/>
          <w:lang w:val="en-US" w:eastAsia="zh-CN"/>
        </w:rPr>
        <w:t>良田镇光明村育苗基地建设项目（三期）3.36464万元。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三、相关要求</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相关单位、镇街严格按照落实《宁夏回族自治区财政衔接推进乡村振兴补助资金管理办法》（宁财（农）发〔2021〕268号）和</w:t>
      </w:r>
      <w:r>
        <w:rPr>
          <w:rFonts w:hint="eastAsia" w:ascii="仿宋_GB2312" w:hAnsi="仿宋_GB2312" w:eastAsia="仿宋_GB2312" w:cs="仿宋_GB2312"/>
          <w:sz w:val="32"/>
          <w:szCs w:val="32"/>
          <w:highlight w:val="none"/>
          <w:lang w:val="en-US" w:eastAsia="zh-CN"/>
        </w:rPr>
        <w:t>《宁夏回族自治区衔接推进乡村振兴补助资金绩效评价及考核办法》（宁财（农）发〔2021〕525号）</w:t>
      </w:r>
      <w:r>
        <w:rPr>
          <w:rFonts w:hint="eastAsia" w:ascii="仿宋_GB2312" w:hAnsi="仿宋_GB2312" w:eastAsia="仿宋_GB2312" w:cs="仿宋_GB2312"/>
          <w:sz w:val="32"/>
          <w:szCs w:val="32"/>
          <w:lang w:val="en-US" w:eastAsia="zh-CN"/>
        </w:rPr>
        <w:t>要求，收到正式调整计划后务必在5日内按照调整计划拨付使用完毕调整使用的结余资金。强化项目资金监督管理，认真落实公示公告制度，</w:t>
      </w:r>
      <w:r>
        <w:rPr>
          <w:rFonts w:hint="eastAsia" w:ascii="仿宋_GB2312" w:hAnsi="仿宋_GB2312" w:eastAsia="仿宋_GB2312" w:cs="仿宋_GB2312"/>
          <w:sz w:val="32"/>
          <w:szCs w:val="32"/>
        </w:rPr>
        <w:t>杜绝挤占挪用、截留贪污、虚报冒领、挥霍浪费等违规违纪现象和行为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附表：金凤区2023年结余自治区衔接推进乡村振兴补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助资金调整分配使用计划表</w:t>
      </w:r>
    </w:p>
    <w:p>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5"/>
        <w:ind w:left="0" w:leftChars="0" w:firstLine="0" w:firstLineChars="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4"/>
        <w:gridCol w:w="1204"/>
        <w:gridCol w:w="1117"/>
        <w:gridCol w:w="930"/>
        <w:gridCol w:w="1318"/>
        <w:gridCol w:w="1054"/>
        <w:gridCol w:w="1086"/>
        <w:gridCol w:w="1035"/>
        <w:gridCol w:w="2100"/>
        <w:gridCol w:w="738"/>
        <w:gridCol w:w="574"/>
        <w:gridCol w:w="489"/>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1096" w:type="dxa"/>
            <w:gridSpan w:val="10"/>
            <w:noWrap w:val="0"/>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SA"/>
              </w:rPr>
              <w:t>附表1</w:t>
            </w:r>
          </w:p>
        </w:tc>
        <w:tc>
          <w:tcPr>
            <w:tcW w:w="1063" w:type="dxa"/>
            <w:gridSpan w:val="2"/>
            <w:noWrap w:val="0"/>
            <w:vAlign w:val="center"/>
          </w:tcPr>
          <w:p>
            <w:pPr>
              <w:rPr>
                <w:rFonts w:hint="eastAsia" w:ascii="宋体" w:hAnsi="宋体" w:eastAsia="宋体" w:cs="宋体"/>
                <w:i w:val="0"/>
                <w:color w:val="000000"/>
                <w:sz w:val="24"/>
                <w:szCs w:val="24"/>
                <w:u w:val="none"/>
              </w:rPr>
            </w:pPr>
          </w:p>
        </w:tc>
        <w:tc>
          <w:tcPr>
            <w:tcW w:w="651"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7" w:hRule="atLeast"/>
          <w:jc w:val="center"/>
        </w:trPr>
        <w:tc>
          <w:tcPr>
            <w:tcW w:w="12810" w:type="dxa"/>
            <w:gridSpan w:val="13"/>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52"/>
                <w:szCs w:val="52"/>
                <w:u w:val="none"/>
              </w:rPr>
            </w:pPr>
            <w:r>
              <w:rPr>
                <w:rFonts w:hint="eastAsia" w:ascii="方正小标宋简体" w:hAnsi="方正小标宋简体" w:eastAsia="方正小标宋简体" w:cs="方正小标宋简体"/>
                <w:i w:val="0"/>
                <w:color w:val="000000"/>
                <w:kern w:val="0"/>
                <w:sz w:val="52"/>
                <w:szCs w:val="52"/>
                <w:u w:val="none"/>
                <w:lang w:val="en-US" w:eastAsia="zh-CN" w:bidi="ar-SA"/>
              </w:rPr>
              <w:t>金凤区2023年结余自治区衔接推进乡村振兴助资金调整分配使用计划表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5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序号</w:t>
            </w:r>
          </w:p>
        </w:tc>
        <w:tc>
          <w:tcPr>
            <w:tcW w:w="120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指标文件</w:t>
            </w:r>
          </w:p>
        </w:tc>
        <w:tc>
          <w:tcPr>
            <w:tcW w:w="1117" w:type="dxa"/>
            <w:vMerge w:val="restart"/>
            <w:tcBorders>
              <w:top w:val="single" w:color="000000" w:sz="4" w:space="0"/>
              <w:lef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资金</w:t>
            </w:r>
            <w:r>
              <w:rPr>
                <w:rFonts w:hint="eastAsia" w:ascii="仿宋_GB2312" w:hAnsi="宋体" w:eastAsia="仿宋_GB2312" w:cs="仿宋_GB2312"/>
                <w:b/>
                <w:i w:val="0"/>
                <w:color w:val="000000"/>
                <w:kern w:val="0"/>
                <w:sz w:val="22"/>
                <w:szCs w:val="22"/>
                <w:u w:val="none"/>
                <w:lang w:val="en-US" w:eastAsia="zh-CN" w:bidi="ar-SA"/>
              </w:rPr>
              <w:br w:type="textWrapping"/>
            </w:r>
            <w:r>
              <w:rPr>
                <w:rFonts w:hint="eastAsia" w:ascii="仿宋_GB2312" w:hAnsi="宋体" w:eastAsia="仿宋_GB2312" w:cs="仿宋_GB2312"/>
                <w:b/>
                <w:i w:val="0"/>
                <w:color w:val="000000"/>
                <w:kern w:val="0"/>
                <w:sz w:val="22"/>
                <w:szCs w:val="22"/>
                <w:u w:val="none"/>
                <w:lang w:val="en-US" w:eastAsia="zh-CN" w:bidi="ar-SA"/>
              </w:rPr>
              <w:t>年度</w:t>
            </w:r>
          </w:p>
        </w:tc>
        <w:tc>
          <w:tcPr>
            <w:tcW w:w="4388"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调整前</w:t>
            </w:r>
          </w:p>
        </w:tc>
        <w:tc>
          <w:tcPr>
            <w:tcW w:w="4447" w:type="dxa"/>
            <w:gridSpan w:val="4"/>
            <w:tcBorders>
              <w:top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调整后</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514"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2"/>
                <w:szCs w:val="22"/>
                <w:u w:val="none"/>
              </w:rPr>
            </w:pPr>
          </w:p>
        </w:tc>
        <w:tc>
          <w:tcPr>
            <w:tcW w:w="1204" w:type="dxa"/>
            <w:vMerge w:val="continue"/>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2"/>
                <w:szCs w:val="22"/>
                <w:u w:val="none"/>
              </w:rPr>
            </w:pPr>
          </w:p>
        </w:tc>
        <w:tc>
          <w:tcPr>
            <w:tcW w:w="1117" w:type="dxa"/>
            <w:vMerge w:val="continue"/>
            <w:tcBorders>
              <w:top w:val="single" w:color="000000" w:sz="4" w:space="0"/>
              <w:left w:val="single" w:color="000000" w:sz="4" w:space="0"/>
            </w:tcBorders>
            <w:noWrap w:val="0"/>
            <w:vAlign w:val="center"/>
          </w:tcPr>
          <w:p>
            <w:pPr>
              <w:jc w:val="center"/>
              <w:rPr>
                <w:rFonts w:hint="eastAsia" w:ascii="仿宋_GB2312" w:hAnsi="宋体" w:eastAsia="仿宋_GB2312" w:cs="仿宋_GB2312"/>
                <w:b/>
                <w:i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项目责</w:t>
            </w:r>
            <w:r>
              <w:rPr>
                <w:rFonts w:hint="eastAsia" w:ascii="仿宋_GB2312" w:hAnsi="宋体" w:eastAsia="仿宋_GB2312" w:cs="仿宋_GB2312"/>
                <w:b/>
                <w:i w:val="0"/>
                <w:color w:val="000000"/>
                <w:kern w:val="0"/>
                <w:sz w:val="22"/>
                <w:szCs w:val="22"/>
                <w:u w:val="none"/>
                <w:lang w:val="en-US" w:eastAsia="zh-CN" w:bidi="ar-SA"/>
              </w:rPr>
              <w:br w:type="textWrapping"/>
            </w:r>
            <w:r>
              <w:rPr>
                <w:rFonts w:hint="eastAsia" w:ascii="仿宋_GB2312" w:hAnsi="宋体" w:eastAsia="仿宋_GB2312" w:cs="仿宋_GB2312"/>
                <w:b/>
                <w:i w:val="0"/>
                <w:color w:val="000000"/>
                <w:kern w:val="0"/>
                <w:sz w:val="22"/>
                <w:szCs w:val="22"/>
                <w:u w:val="none"/>
                <w:lang w:val="en-US" w:eastAsia="zh-CN" w:bidi="ar-SA"/>
              </w:rPr>
              <w:t>任单位</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项目名称</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结余资金</w:t>
            </w:r>
            <w:r>
              <w:rPr>
                <w:rFonts w:hint="eastAsia" w:ascii="仿宋_GB2312" w:hAnsi="宋体" w:eastAsia="仿宋_GB2312" w:cs="仿宋_GB2312"/>
                <w:b/>
                <w:i w:val="0"/>
                <w:color w:val="000000"/>
                <w:kern w:val="0"/>
                <w:sz w:val="22"/>
                <w:szCs w:val="22"/>
                <w:u w:val="none"/>
                <w:lang w:val="en-US" w:eastAsia="zh-CN" w:bidi="ar-SA"/>
              </w:rPr>
              <w:br w:type="textWrapping"/>
            </w:r>
            <w:r>
              <w:rPr>
                <w:rFonts w:hint="eastAsia" w:ascii="仿宋_GB2312" w:hAnsi="宋体" w:eastAsia="仿宋_GB2312" w:cs="仿宋_GB2312"/>
                <w:b/>
                <w:i w:val="0"/>
                <w:color w:val="000000"/>
                <w:kern w:val="0"/>
                <w:sz w:val="22"/>
                <w:szCs w:val="22"/>
                <w:u w:val="none"/>
                <w:lang w:val="en-US" w:eastAsia="zh-CN" w:bidi="ar-SA"/>
              </w:rPr>
              <w:t>（万元）</w:t>
            </w:r>
          </w:p>
        </w:tc>
        <w:tc>
          <w:tcPr>
            <w:tcW w:w="1086"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资金类型</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项目责</w:t>
            </w:r>
            <w:r>
              <w:rPr>
                <w:rFonts w:hint="eastAsia" w:ascii="仿宋_GB2312" w:hAnsi="宋体" w:eastAsia="仿宋_GB2312" w:cs="仿宋_GB2312"/>
                <w:b/>
                <w:i w:val="0"/>
                <w:color w:val="000000"/>
                <w:kern w:val="0"/>
                <w:sz w:val="22"/>
                <w:szCs w:val="22"/>
                <w:u w:val="none"/>
                <w:lang w:val="en-US" w:eastAsia="zh-CN" w:bidi="ar-SA"/>
              </w:rPr>
              <w:br w:type="textWrapping"/>
            </w:r>
            <w:r>
              <w:rPr>
                <w:rFonts w:hint="eastAsia" w:ascii="仿宋_GB2312" w:hAnsi="宋体" w:eastAsia="仿宋_GB2312" w:cs="仿宋_GB2312"/>
                <w:b/>
                <w:i w:val="0"/>
                <w:color w:val="000000"/>
                <w:kern w:val="0"/>
                <w:sz w:val="22"/>
                <w:szCs w:val="22"/>
                <w:u w:val="none"/>
                <w:lang w:val="en-US" w:eastAsia="zh-CN" w:bidi="ar-SA"/>
              </w:rPr>
              <w:t>任单位</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项目名称</w:t>
            </w:r>
          </w:p>
        </w:tc>
        <w:tc>
          <w:tcPr>
            <w:tcW w:w="1312"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SA"/>
              </w:rPr>
              <w:t>安排资金</w:t>
            </w:r>
            <w:r>
              <w:rPr>
                <w:rFonts w:hint="eastAsia" w:ascii="仿宋_GB2312" w:hAnsi="宋体" w:eastAsia="仿宋_GB2312" w:cs="仿宋_GB2312"/>
                <w:b/>
                <w:i w:val="0"/>
                <w:color w:val="000000"/>
                <w:kern w:val="0"/>
                <w:sz w:val="22"/>
                <w:szCs w:val="22"/>
                <w:u w:val="none"/>
                <w:lang w:val="en-US" w:eastAsia="zh-CN" w:bidi="ar-SA"/>
              </w:rPr>
              <w:br w:type="textWrapping"/>
            </w:r>
            <w:r>
              <w:rPr>
                <w:rFonts w:hint="eastAsia" w:ascii="仿宋_GB2312" w:hAnsi="宋体" w:eastAsia="仿宋_GB2312" w:cs="仿宋_GB2312"/>
                <w:b/>
                <w:i w:val="0"/>
                <w:color w:val="000000"/>
                <w:kern w:val="0"/>
                <w:sz w:val="22"/>
                <w:szCs w:val="22"/>
                <w:u w:val="none"/>
                <w:lang w:val="en-US" w:eastAsia="zh-CN" w:bidi="ar-SA"/>
              </w:rPr>
              <w:t>（万元）</w:t>
            </w: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3" w:hRule="atLeast"/>
          <w:jc w:val="center"/>
        </w:trPr>
        <w:tc>
          <w:tcPr>
            <w:tcW w:w="51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宁财（农）指标〔2023〕141号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2023年</w:t>
            </w:r>
          </w:p>
        </w:tc>
        <w:tc>
          <w:tcPr>
            <w:tcW w:w="93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长城中</w:t>
            </w:r>
            <w:r>
              <w:rPr>
                <w:rFonts w:hint="eastAsia" w:ascii="宋体" w:hAnsi="宋体" w:eastAsia="宋体" w:cs="宋体"/>
                <w:i w:val="0"/>
                <w:color w:val="000000"/>
                <w:kern w:val="0"/>
                <w:sz w:val="22"/>
                <w:szCs w:val="22"/>
                <w:u w:val="none"/>
                <w:lang w:val="en-US" w:eastAsia="zh-CN" w:bidi="ar-SA"/>
              </w:rPr>
              <w:br w:type="textWrapping"/>
            </w:r>
            <w:r>
              <w:rPr>
                <w:rFonts w:hint="eastAsia" w:ascii="宋体" w:hAnsi="宋体" w:eastAsia="宋体" w:cs="宋体"/>
                <w:i w:val="0"/>
                <w:color w:val="000000"/>
                <w:kern w:val="0"/>
                <w:sz w:val="22"/>
                <w:szCs w:val="22"/>
                <w:u w:val="none"/>
                <w:lang w:val="en-US" w:eastAsia="zh-CN" w:bidi="ar-SA"/>
              </w:rPr>
              <w:t>路街道</w:t>
            </w:r>
          </w:p>
        </w:tc>
        <w:tc>
          <w:tcPr>
            <w:tcW w:w="1318"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已脱贫人口及监测对象乡村公益性岗位项目</w:t>
            </w:r>
          </w:p>
        </w:tc>
        <w:tc>
          <w:tcPr>
            <w:tcW w:w="105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6.4488</w:t>
            </w:r>
          </w:p>
        </w:tc>
        <w:tc>
          <w:tcPr>
            <w:tcW w:w="1086" w:type="dxa"/>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自治区衔接资金</w:t>
            </w:r>
          </w:p>
        </w:tc>
        <w:tc>
          <w:tcPr>
            <w:tcW w:w="1035" w:type="dxa"/>
            <w:vMerge w:val="restart"/>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良田镇</w:t>
            </w:r>
          </w:p>
        </w:tc>
        <w:tc>
          <w:tcPr>
            <w:tcW w:w="210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已脱贫人口及“三类人员”监测对象小额信贷贴息项目</w:t>
            </w:r>
          </w:p>
        </w:tc>
        <w:tc>
          <w:tcPr>
            <w:tcW w:w="1312" w:type="dxa"/>
            <w:gridSpan w:val="2"/>
            <w:tcBorders>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10.54396</w:t>
            </w:r>
          </w:p>
        </w:tc>
        <w:tc>
          <w:tcPr>
            <w:tcW w:w="1140" w:type="dxa"/>
            <w:gridSpan w:val="2"/>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8" w:hRule="atLeast"/>
          <w:jc w:val="center"/>
        </w:trPr>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宁财（农）指标〔2023〕141号</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2023年</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丰登镇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已脱贫人口及监测对象乡村公益性岗位项目</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SA"/>
              </w:rPr>
              <w:t>7.4598</w:t>
            </w:r>
          </w:p>
        </w:tc>
        <w:tc>
          <w:tcPr>
            <w:tcW w:w="1086"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自治区衔接资金</w:t>
            </w:r>
          </w:p>
        </w:tc>
        <w:tc>
          <w:tcPr>
            <w:tcW w:w="1035" w:type="dxa"/>
            <w:vMerge w:val="continue"/>
            <w:tcBorders>
              <w:left w:val="single" w:color="000000" w:sz="4" w:space="0"/>
              <w:bottom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良田镇光明村育苗基地建设项目（三期）</w:t>
            </w:r>
          </w:p>
        </w:tc>
        <w:tc>
          <w:tcPr>
            <w:tcW w:w="1312"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SA"/>
              </w:rPr>
              <w:t>3.36464</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合  计</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SA"/>
              </w:rPr>
              <w:t>13.9086</w:t>
            </w:r>
          </w:p>
        </w:tc>
        <w:tc>
          <w:tcPr>
            <w:tcW w:w="1086" w:type="dxa"/>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035" w:type="dxa"/>
            <w:tcBorders>
              <w:top w:val="single" w:color="000000" w:sz="4" w:space="0"/>
              <w:left w:val="single" w:color="000000" w:sz="4" w:space="0"/>
              <w:bottom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312"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SA"/>
              </w:rPr>
              <w:t>13.9086</w:t>
            </w: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bl>
    <w:p>
      <w:pPr>
        <w:pStyle w:val="5"/>
        <w:ind w:left="0" w:leftChars="0" w:firstLine="0" w:firstLineChars="0"/>
        <w:rPr>
          <w:rFonts w:hint="eastAsia" w:ascii="仿宋_GB2312" w:hAnsi="仿宋_GB2312" w:eastAsia="仿宋_GB2312" w:cs="仿宋_GB2312"/>
          <w:sz w:val="32"/>
          <w:szCs w:val="32"/>
          <w:lang w:val="en-US" w:eastAsia="zh-CN"/>
        </w:rPr>
      </w:pPr>
    </w:p>
    <w:p>
      <w:pPr>
        <w:widowControl w:val="0"/>
        <w:numPr>
          <w:ilvl w:val="0"/>
          <w:numId w:val="0"/>
        </w:numPr>
        <w:pBdr>
          <w:top w:val="none" w:color="000000" w:sz="0" w:space="0"/>
          <w:left w:val="none" w:color="000000" w:sz="0" w:space="0"/>
          <w:bottom w:val="none" w:color="000000" w:sz="0" w:space="16"/>
          <w:right w:val="none" w:color="000000" w:sz="0" w:space="0"/>
        </w:pBdr>
        <w:wordWrap/>
        <w:adjustRightInd w:val="0"/>
        <w:snapToGrid w:val="0"/>
        <w:spacing w:after="0" w:line="560" w:lineRule="exact"/>
        <w:jc w:val="both"/>
        <w:textAlignment w:val="auto"/>
        <w:rPr>
          <w:rFonts w:hint="default" w:ascii="仿宋_GB2312" w:hAnsi="仿宋_GB2312" w:eastAsia="仿宋_GB2312" w:cs="仿宋_GB2312"/>
          <w:sz w:val="32"/>
          <w:szCs w:val="32"/>
          <w:lang w:val="en-US" w:eastAsia="zh-CN"/>
        </w:rPr>
      </w:pPr>
    </w:p>
    <w:sectPr>
      <w:footerReference r:id="rId5" w:type="default"/>
      <w:pgSz w:w="16838" w:h="11905" w:orient="landscape"/>
      <w:pgMar w:top="1587" w:right="1701" w:bottom="1474" w:left="1701" w:header="850" w:footer="1701" w:gutter="0"/>
      <w:pgNumType w:fmt="numberInDash" w:start="1"/>
      <w:cols w:space="72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797B2-DFE6-498B-924E-F85D394531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24DB945-F087-4214-97E7-3A88CDCD4519}"/>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029D46F2-9AD4-446E-93BA-AE375449C20B}"/>
  </w:font>
  <w:font w:name="方正小标宋简体">
    <w:panose1 w:val="02000000000000000000"/>
    <w:charset w:val="86"/>
    <w:family w:val="auto"/>
    <w:pitch w:val="default"/>
    <w:sig w:usb0="A00002BF" w:usb1="184F6CFA" w:usb2="00000012" w:usb3="00000000" w:csb0="00040001" w:csb1="00000000"/>
    <w:embedRegular r:id="rId4" w:fontKey="{8D30E804-8779-4D67-B71A-F2DC09FEBC64}"/>
  </w:font>
  <w:font w:name="方正小标宋_GBK">
    <w:panose1 w:val="03000509000000000000"/>
    <w:charset w:val="86"/>
    <w:family w:val="auto"/>
    <w:pitch w:val="default"/>
    <w:sig w:usb0="00000001" w:usb1="080E0000" w:usb2="00000000" w:usb3="00000000" w:csb0="00040000" w:csb1="00000000"/>
    <w:embedRegular r:id="rId5" w:fontKey="{A1573AC0-62DE-41B0-A53A-4C43633484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right="84"/>
      <w:jc w:val="right"/>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HorizontalSpacing w:val="210"/>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YTJlMmM1MGQ4Mzk1ZmU3MmY3YWUxZTNjY2IzMDIifQ=="/>
  </w:docVars>
  <w:rsids>
    <w:rsidRoot w:val="54696239"/>
    <w:rsid w:val="00D64AE1"/>
    <w:rsid w:val="00EF6A16"/>
    <w:rsid w:val="01317F69"/>
    <w:rsid w:val="016032C5"/>
    <w:rsid w:val="020A5E3C"/>
    <w:rsid w:val="02A209F3"/>
    <w:rsid w:val="02AD1871"/>
    <w:rsid w:val="038B765F"/>
    <w:rsid w:val="043B19DA"/>
    <w:rsid w:val="048605CC"/>
    <w:rsid w:val="07465DF0"/>
    <w:rsid w:val="07CC63DA"/>
    <w:rsid w:val="086C650B"/>
    <w:rsid w:val="08B66FA6"/>
    <w:rsid w:val="08C94F2B"/>
    <w:rsid w:val="09673879"/>
    <w:rsid w:val="099B5350"/>
    <w:rsid w:val="09D65B51"/>
    <w:rsid w:val="0A610E2C"/>
    <w:rsid w:val="0AA40DF8"/>
    <w:rsid w:val="0B5D0834"/>
    <w:rsid w:val="0BEF20AF"/>
    <w:rsid w:val="0CC81C74"/>
    <w:rsid w:val="0D5C1BAA"/>
    <w:rsid w:val="0DC950AB"/>
    <w:rsid w:val="0E0A401C"/>
    <w:rsid w:val="0E417312"/>
    <w:rsid w:val="0E9658AF"/>
    <w:rsid w:val="0EBD108E"/>
    <w:rsid w:val="0ECB7EDB"/>
    <w:rsid w:val="0EEC1973"/>
    <w:rsid w:val="0F477D01"/>
    <w:rsid w:val="0F995326"/>
    <w:rsid w:val="0FAB3042"/>
    <w:rsid w:val="108E4939"/>
    <w:rsid w:val="11A007F3"/>
    <w:rsid w:val="11C12C43"/>
    <w:rsid w:val="11E701D0"/>
    <w:rsid w:val="14AA393A"/>
    <w:rsid w:val="15351DFB"/>
    <w:rsid w:val="15B34F99"/>
    <w:rsid w:val="16456206"/>
    <w:rsid w:val="173405A0"/>
    <w:rsid w:val="17B309A4"/>
    <w:rsid w:val="17EE22B8"/>
    <w:rsid w:val="185E6D88"/>
    <w:rsid w:val="18805521"/>
    <w:rsid w:val="18BB495B"/>
    <w:rsid w:val="196743E8"/>
    <w:rsid w:val="19BB4AC7"/>
    <w:rsid w:val="19C03E73"/>
    <w:rsid w:val="1B43291B"/>
    <w:rsid w:val="1BCC2910"/>
    <w:rsid w:val="1D0A4654"/>
    <w:rsid w:val="1D5255A7"/>
    <w:rsid w:val="1D9F56A6"/>
    <w:rsid w:val="1DF276AF"/>
    <w:rsid w:val="1E4569AA"/>
    <w:rsid w:val="1E594203"/>
    <w:rsid w:val="1E967206"/>
    <w:rsid w:val="201A5DBA"/>
    <w:rsid w:val="203A09C9"/>
    <w:rsid w:val="207D68CF"/>
    <w:rsid w:val="2096173F"/>
    <w:rsid w:val="2113361D"/>
    <w:rsid w:val="22971695"/>
    <w:rsid w:val="23DF20E2"/>
    <w:rsid w:val="24757506"/>
    <w:rsid w:val="255C72AC"/>
    <w:rsid w:val="266D4CF0"/>
    <w:rsid w:val="26E31456"/>
    <w:rsid w:val="27391076"/>
    <w:rsid w:val="274E2336"/>
    <w:rsid w:val="27B005AA"/>
    <w:rsid w:val="27B5694E"/>
    <w:rsid w:val="290D25E5"/>
    <w:rsid w:val="299D58EC"/>
    <w:rsid w:val="29E662F1"/>
    <w:rsid w:val="2B373A99"/>
    <w:rsid w:val="2B590E2A"/>
    <w:rsid w:val="2BFA3668"/>
    <w:rsid w:val="2CAE1BBE"/>
    <w:rsid w:val="2E1D73B4"/>
    <w:rsid w:val="2E5609B0"/>
    <w:rsid w:val="2EE74AB9"/>
    <w:rsid w:val="2F37233F"/>
    <w:rsid w:val="2F3A598B"/>
    <w:rsid w:val="2F911A4F"/>
    <w:rsid w:val="2FFE2E5D"/>
    <w:rsid w:val="301335B6"/>
    <w:rsid w:val="31E5776A"/>
    <w:rsid w:val="324F79A0"/>
    <w:rsid w:val="32A25D21"/>
    <w:rsid w:val="32AC3CB0"/>
    <w:rsid w:val="32BF2D77"/>
    <w:rsid w:val="32FC18D5"/>
    <w:rsid w:val="33013677"/>
    <w:rsid w:val="333C6176"/>
    <w:rsid w:val="34AE1C70"/>
    <w:rsid w:val="35ED7BFB"/>
    <w:rsid w:val="367407E3"/>
    <w:rsid w:val="369B4D8A"/>
    <w:rsid w:val="38563836"/>
    <w:rsid w:val="38606463"/>
    <w:rsid w:val="391E2510"/>
    <w:rsid w:val="39331724"/>
    <w:rsid w:val="39462CB6"/>
    <w:rsid w:val="3A420F92"/>
    <w:rsid w:val="3ACF78CF"/>
    <w:rsid w:val="3ADE2F1C"/>
    <w:rsid w:val="3B1E5785"/>
    <w:rsid w:val="3C535F04"/>
    <w:rsid w:val="3D5F13DF"/>
    <w:rsid w:val="3DAA1DBA"/>
    <w:rsid w:val="3F0D115D"/>
    <w:rsid w:val="3F2C52F0"/>
    <w:rsid w:val="40307062"/>
    <w:rsid w:val="406C26E4"/>
    <w:rsid w:val="41D2798B"/>
    <w:rsid w:val="4235270E"/>
    <w:rsid w:val="424568F8"/>
    <w:rsid w:val="42B07FE6"/>
    <w:rsid w:val="43212B30"/>
    <w:rsid w:val="446145DD"/>
    <w:rsid w:val="44D1326F"/>
    <w:rsid w:val="46912BDC"/>
    <w:rsid w:val="473531B0"/>
    <w:rsid w:val="474B4782"/>
    <w:rsid w:val="47916B77"/>
    <w:rsid w:val="47934820"/>
    <w:rsid w:val="47975C19"/>
    <w:rsid w:val="484726E7"/>
    <w:rsid w:val="48AB372A"/>
    <w:rsid w:val="49753D38"/>
    <w:rsid w:val="4ACF7478"/>
    <w:rsid w:val="4CE332A2"/>
    <w:rsid w:val="4D3C70C3"/>
    <w:rsid w:val="4EEE17D5"/>
    <w:rsid w:val="4F470C7C"/>
    <w:rsid w:val="4F8B568E"/>
    <w:rsid w:val="4F8F4094"/>
    <w:rsid w:val="50306C0B"/>
    <w:rsid w:val="51167BAE"/>
    <w:rsid w:val="528045A9"/>
    <w:rsid w:val="54044563"/>
    <w:rsid w:val="54696239"/>
    <w:rsid w:val="55A279D1"/>
    <w:rsid w:val="55D81C32"/>
    <w:rsid w:val="55E71B19"/>
    <w:rsid w:val="5651762B"/>
    <w:rsid w:val="56C13162"/>
    <w:rsid w:val="571903F8"/>
    <w:rsid w:val="574C326F"/>
    <w:rsid w:val="582C7CB7"/>
    <w:rsid w:val="585B059D"/>
    <w:rsid w:val="59236694"/>
    <w:rsid w:val="59EA6E92"/>
    <w:rsid w:val="5A056A12"/>
    <w:rsid w:val="5C1A3007"/>
    <w:rsid w:val="5E1B4A56"/>
    <w:rsid w:val="5E7D74BF"/>
    <w:rsid w:val="5F213EC9"/>
    <w:rsid w:val="5F4973A1"/>
    <w:rsid w:val="5F7F1015"/>
    <w:rsid w:val="5FD749AD"/>
    <w:rsid w:val="6025396A"/>
    <w:rsid w:val="61CB22EF"/>
    <w:rsid w:val="624C1ED5"/>
    <w:rsid w:val="629E7A04"/>
    <w:rsid w:val="62A32060"/>
    <w:rsid w:val="64EF2799"/>
    <w:rsid w:val="664C23E4"/>
    <w:rsid w:val="673650B4"/>
    <w:rsid w:val="680E73DA"/>
    <w:rsid w:val="68115549"/>
    <w:rsid w:val="68B07650"/>
    <w:rsid w:val="690802CD"/>
    <w:rsid w:val="6A3F71E5"/>
    <w:rsid w:val="6A4E61B3"/>
    <w:rsid w:val="6AE362EB"/>
    <w:rsid w:val="6BBD0EFB"/>
    <w:rsid w:val="6CEA0C3F"/>
    <w:rsid w:val="6D741A8D"/>
    <w:rsid w:val="6DC72505"/>
    <w:rsid w:val="6DFD5F26"/>
    <w:rsid w:val="6EFC55EB"/>
    <w:rsid w:val="6FC36CFC"/>
    <w:rsid w:val="710D6480"/>
    <w:rsid w:val="71F66F14"/>
    <w:rsid w:val="7245600B"/>
    <w:rsid w:val="72B837DC"/>
    <w:rsid w:val="72F02B81"/>
    <w:rsid w:val="73AA161E"/>
    <w:rsid w:val="74516EE2"/>
    <w:rsid w:val="74746816"/>
    <w:rsid w:val="75442FF2"/>
    <w:rsid w:val="75705230"/>
    <w:rsid w:val="76076651"/>
    <w:rsid w:val="771147F0"/>
    <w:rsid w:val="77242776"/>
    <w:rsid w:val="78E33F6B"/>
    <w:rsid w:val="7A091FC6"/>
    <w:rsid w:val="7A212F9C"/>
    <w:rsid w:val="7A6510DB"/>
    <w:rsid w:val="7A8D23E0"/>
    <w:rsid w:val="7AA2343E"/>
    <w:rsid w:val="7B4D5B05"/>
    <w:rsid w:val="7BE23B61"/>
    <w:rsid w:val="7BE41C3E"/>
    <w:rsid w:val="7D750A7C"/>
    <w:rsid w:val="7D9D3B87"/>
    <w:rsid w:val="7DB23BCF"/>
    <w:rsid w:val="7DC247BA"/>
    <w:rsid w:val="7E3E411D"/>
    <w:rsid w:val="7F3A0649"/>
    <w:rsid w:val="7F6C68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spacing w:before="100" w:beforeAutospacing="1"/>
      <w:ind w:firstLine="420" w:firstLineChars="100"/>
    </w:pPr>
  </w:style>
  <w:style w:type="paragraph" w:styleId="3">
    <w:name w:val="Body Text"/>
    <w:basedOn w:val="1"/>
    <w:next w:val="4"/>
    <w:autoRedefine/>
    <w:unhideWhenUsed/>
    <w:qFormat/>
    <w:uiPriority w:val="99"/>
    <w:pPr>
      <w:spacing w:before="0" w:after="140" w:line="276" w:lineRule="auto"/>
    </w:pPr>
  </w:style>
  <w:style w:type="paragraph" w:styleId="4">
    <w:name w:val="Body Text Indent 2"/>
    <w:basedOn w:val="1"/>
    <w:autoRedefine/>
    <w:unhideWhenUsed/>
    <w:qFormat/>
    <w:uiPriority w:val="99"/>
    <w:pPr>
      <w:tabs>
        <w:tab w:val="left" w:pos="8085"/>
      </w:tabs>
      <w:spacing w:line="480" w:lineRule="auto"/>
      <w:ind w:left="200" w:leftChars="200"/>
    </w:pPr>
  </w:style>
  <w:style w:type="paragraph" w:styleId="5">
    <w:name w:val="Body Text First Indent 2"/>
    <w:basedOn w:val="6"/>
    <w:autoRedefine/>
    <w:unhideWhenUsed/>
    <w:qFormat/>
    <w:uiPriority w:val="99"/>
    <w:pPr>
      <w:spacing w:before="100" w:beforeAutospacing="1" w:after="0"/>
      <w:ind w:left="0" w:firstLine="210" w:firstLineChars="200"/>
    </w:pPr>
    <w:rPr>
      <w:sz w:val="28"/>
      <w:szCs w:val="28"/>
    </w:rPr>
  </w:style>
  <w:style w:type="paragraph" w:styleId="6">
    <w:name w:val="Body Text Indent"/>
    <w:basedOn w:val="1"/>
    <w:autoRedefine/>
    <w:unhideWhenUsed/>
    <w:qFormat/>
    <w:uiPriority w:val="99"/>
    <w:pPr>
      <w:spacing w:after="120"/>
      <w:ind w:left="420" w:leftChars="200"/>
    </w:pPr>
  </w:style>
  <w:style w:type="paragraph" w:styleId="7">
    <w:name w:val="Normal Indent"/>
    <w:basedOn w:val="1"/>
    <w:next w:val="1"/>
    <w:autoRedefine/>
    <w:qFormat/>
    <w:uiPriority w:val="0"/>
    <w:pPr>
      <w:ind w:firstLine="200" w:firstLineChars="200"/>
    </w:pPr>
    <w:rPr>
      <w:rFonts w:ascii="Times New Roman" w:hAnsi="Times New Roman" w:eastAsia="宋体"/>
      <w:szCs w:val="24"/>
    </w:rPr>
  </w:style>
  <w:style w:type="paragraph" w:styleId="8">
    <w:name w:val="index 5"/>
    <w:basedOn w:val="1"/>
    <w:next w:val="1"/>
    <w:autoRedefine/>
    <w:unhideWhenUsed/>
    <w:qFormat/>
    <w:uiPriority w:val="99"/>
    <w:pPr>
      <w:ind w:left="1680"/>
    </w:pPr>
  </w:style>
  <w:style w:type="paragraph" w:styleId="9">
    <w:name w:val="Balloon Text"/>
    <w:basedOn w:val="1"/>
    <w:autoRedefine/>
    <w:unhideWhenUsed/>
    <w:qFormat/>
    <w:uiPriority w:val="99"/>
    <w:rPr>
      <w:rFonts w:ascii="Times New Roman" w:hAnsi="Times New Roman" w:cs="Times New Roman"/>
      <w:sz w:val="18"/>
      <w:szCs w:val="18"/>
    </w:rPr>
  </w:style>
  <w:style w:type="paragraph" w:styleId="10">
    <w:name w:val="footer"/>
    <w:basedOn w:val="1"/>
    <w:next w:val="11"/>
    <w:autoRedefine/>
    <w:qFormat/>
    <w:uiPriority w:val="0"/>
    <w:pPr>
      <w:tabs>
        <w:tab w:val="center" w:pos="4153"/>
        <w:tab w:val="right" w:pos="8306"/>
      </w:tabs>
      <w:snapToGrid w:val="0"/>
      <w:jc w:val="left"/>
    </w:pPr>
    <w:rPr>
      <w:sz w:val="18"/>
    </w:rPr>
  </w:style>
  <w:style w:type="paragraph" w:styleId="11">
    <w:name w:val="header"/>
    <w:basedOn w:val="1"/>
    <w:next w:val="1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customStyle="1" w:styleId="16">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7">
    <w:name w:val="Heading #2|1"/>
    <w:basedOn w:val="1"/>
    <w:autoRedefine/>
    <w:qFormat/>
    <w:uiPriority w:val="0"/>
    <w:pPr>
      <w:widowControl w:val="0"/>
      <w:shd w:val="clear" w:color="auto" w:fill="auto"/>
      <w:spacing w:before="110" w:after="330" w:line="355" w:lineRule="exact"/>
      <w:jc w:val="center"/>
      <w:outlineLvl w:val="1"/>
    </w:pPr>
    <w:rPr>
      <w:rFonts w:ascii="宋体" w:hAnsi="宋体" w:eastAsia="宋体" w:cs="宋体"/>
      <w:u w:val="none"/>
      <w:shd w:val="clear" w:color="auto" w:fill="auto"/>
      <w:lang w:val="zh-CN" w:eastAsia="zh-CN" w:bidi="zh-CN"/>
    </w:rPr>
  </w:style>
  <w:style w:type="paragraph" w:customStyle="1" w:styleId="18">
    <w:name w:val="p0"/>
    <w:basedOn w:val="1"/>
    <w:autoRedefine/>
    <w:qFormat/>
    <w:uiPriority w:val="0"/>
    <w:pPr>
      <w:widowControl/>
    </w:pPr>
    <w:rPr>
      <w:rFonts w:cs="宋体"/>
      <w:kern w:val="0"/>
      <w:szCs w:val="21"/>
    </w:rPr>
  </w:style>
  <w:style w:type="character" w:customStyle="1" w:styleId="19">
    <w:name w:val="NormalCharacter"/>
    <w:autoRedefine/>
    <w:semiHidden/>
    <w:qFormat/>
    <w:uiPriority w:val="0"/>
    <w:rPr>
      <w:rFonts w:eastAsia="仿宋_GB2312"/>
      <w:sz w:val="32"/>
    </w:rPr>
  </w:style>
  <w:style w:type="table" w:customStyle="1" w:styleId="20">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9476</Words>
  <Characters>10201</Characters>
  <Lines>0</Lines>
  <Paragraphs>0</Paragraphs>
  <TotalTime>22</TotalTime>
  <ScaleCrop>false</ScaleCrop>
  <LinksUpToDate>false</LinksUpToDate>
  <CharactersWithSpaces>10228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2022-05-09T08:09:00Z</dcterms:created>
  <dc:creator>薛逸轩</dc:creator>
  <cp:lastModifiedBy>千年</cp:lastModifiedBy>
  <cp:lastPrinted>2023-12-21T13:52:00Z</cp:lastPrinted>
  <dcterms:modified xsi:type="dcterms:W3CDTF">2023-12-22T02:10:32Z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009A75AB46A848F5B0026A070048A7A5_13</vt:lpwstr>
  </property>
</Properties>
</file>