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仿宋_GB2312" w:hAnsi="宋体" w:eastAsia="仿宋_GB2312"/>
          <w:b/>
          <w:kern w:val="0"/>
          <w:sz w:val="36"/>
          <w:szCs w:val="36"/>
          <w:lang w:eastAsia="zh-CN"/>
        </w:rPr>
      </w:pPr>
      <w:r>
        <w:rPr>
          <w:rFonts w:hint="eastAsia" w:ascii="仿宋_GB2312" w:hAnsi="宋体" w:eastAsia="仿宋_GB2312"/>
          <w:b/>
          <w:kern w:val="0"/>
          <w:sz w:val="36"/>
          <w:szCs w:val="36"/>
          <w:lang w:eastAsia="zh-CN"/>
        </w:rPr>
        <w:t>金凤区农业综合开发办公室</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2019年部门预算——单位概况</w:t>
      </w:r>
    </w:p>
    <w:p>
      <w:pPr>
        <w:widowControl/>
        <w:jc w:val="center"/>
        <w:outlineLvl w:val="1"/>
        <w:rPr>
          <w:rFonts w:ascii="宋体" w:hAnsi="宋体"/>
          <w:b/>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rPr>
          <w:rFonts w:ascii="仿宋" w:hAnsi="仿宋" w:eastAsia="仿宋" w:cs="宋体"/>
          <w:bCs/>
          <w:kern w:val="0"/>
          <w:sz w:val="32"/>
          <w:szCs w:val="32"/>
        </w:rPr>
      </w:pPr>
      <w:r>
        <w:rPr>
          <w:rFonts w:hint="eastAsia" w:ascii="黑体" w:hAnsi="黑体" w:eastAsia="黑体" w:cs="宋体"/>
          <w:bCs/>
          <w:kern w:val="0"/>
          <w:sz w:val="32"/>
          <w:szCs w:val="32"/>
        </w:rPr>
        <w:t xml:space="preserve">   </w:t>
      </w:r>
      <w:r>
        <w:rPr>
          <w:rFonts w:hint="eastAsia" w:ascii="仿宋" w:hAnsi="仿宋" w:eastAsia="仿宋" w:cs="宋体"/>
          <w:bCs/>
          <w:kern w:val="0"/>
          <w:sz w:val="32"/>
          <w:szCs w:val="32"/>
        </w:rPr>
        <w:t xml:space="preserve"> </w:t>
      </w:r>
      <w:r>
        <w:rPr>
          <w:rFonts w:hint="eastAsia" w:ascii="仿宋_GB2312" w:hAnsi="仿宋_GB2312" w:eastAsia="仿宋_GB2312" w:cs="仿宋_GB2312"/>
          <w:sz w:val="32"/>
          <w:szCs w:val="32"/>
        </w:rPr>
        <w:t>贯彻执行国家、省、市有关农业综合开发方针政策，贯彻落实国家农业综合开发项目与资金管理制度。编制农业综合开发中长期规划和年度计划，组织评估、论证本区农业综合开发项目的规划设计、建设规模及投资计划，开展项目前期准备和申报工作。按批准计划组织项目实施，</w:t>
      </w:r>
      <w:r>
        <w:rPr>
          <w:rFonts w:hint="eastAsia" w:ascii="仿宋_GB2312" w:hAnsi="仿宋_GB2312" w:eastAsia="仿宋_GB2312" w:cs="仿宋_GB2312"/>
          <w:sz w:val="32"/>
          <w:szCs w:val="32"/>
          <w:lang w:eastAsia="zh-CN"/>
        </w:rPr>
        <w:t>管理和实施以改造中低产田，改善农业基本生产条件为重点的土地治理项目、多种经营项目，农业高新科技示范项目，不断提高农业综合生产力。</w:t>
      </w:r>
      <w:r>
        <w:rPr>
          <w:rFonts w:hint="eastAsia" w:ascii="仿宋_GB2312" w:hAnsi="仿宋_GB2312" w:eastAsia="仿宋_GB2312" w:cs="仿宋_GB2312"/>
          <w:sz w:val="32"/>
          <w:szCs w:val="32"/>
        </w:rPr>
        <w:t>对竣工项目组织全面验收。抓好工程质量，经常监督检查，搞好农业综合开科技示范和技术培训，负责抓好本部门农业综合开发队伍建设，协调与有关部门关系。</w:t>
      </w: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jc w:val="left"/>
        <w:rPr>
          <w:rFonts w:hint="eastAsia" w:ascii="仿宋_GB2312" w:hAnsi="宋体" w:eastAsia="仿宋_GB2312" w:cs="宋体"/>
          <w:kern w:val="0"/>
          <w:sz w:val="32"/>
          <w:szCs w:val="32"/>
          <w:lang w:val="en-US" w:eastAsia="zh-CN"/>
        </w:rPr>
      </w:pPr>
      <w:r>
        <w:rPr>
          <w:rFonts w:hint="eastAsia" w:ascii="黑体" w:hAnsi="黑体" w:eastAsia="黑体" w:cs="宋体"/>
          <w:b/>
          <w:bCs/>
          <w:kern w:val="0"/>
          <w:sz w:val="32"/>
          <w:szCs w:val="32"/>
        </w:rPr>
        <w:t xml:space="preserve">   </w:t>
      </w:r>
      <w:r>
        <w:rPr>
          <w:rFonts w:hint="eastAsia" w:ascii="仿宋" w:hAnsi="仿宋" w:eastAsia="仿宋" w:cs="宋体"/>
          <w:b/>
          <w:bCs/>
          <w:kern w:val="0"/>
          <w:sz w:val="32"/>
          <w:szCs w:val="32"/>
        </w:rPr>
        <w:t xml:space="preserve"> </w:t>
      </w:r>
      <w:r>
        <w:rPr>
          <w:rFonts w:hint="eastAsia" w:ascii="仿宋_GB2312" w:hAnsi="宋体" w:eastAsia="仿宋_GB2312" w:cs="宋体"/>
          <w:kern w:val="0"/>
          <w:sz w:val="32"/>
          <w:szCs w:val="32"/>
          <w:lang w:val="en-US" w:eastAsia="zh-CN"/>
        </w:rPr>
        <w:t>（一）人员构成</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银川市金凤区农发办现有职工6人，其中在编3人，复转军人及流动办分流人员3人，</w:t>
      </w:r>
      <w:r>
        <w:rPr>
          <w:rFonts w:hint="eastAsia" w:ascii="仿宋_GB2312" w:hAnsi="宋体" w:eastAsia="仿宋_GB2312" w:cs="宋体"/>
          <w:kern w:val="0"/>
          <w:sz w:val="32"/>
          <w:szCs w:val="32"/>
          <w:lang w:eastAsia="zh-CN"/>
        </w:rPr>
        <w:t>属于事业全额拨款单位。</w:t>
      </w:r>
    </w:p>
    <w:p>
      <w:pPr>
        <w:widowControl/>
        <w:numPr>
          <w:ilvl w:val="0"/>
          <w:numId w:val="1"/>
        </w:numPr>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车辆基本情况</w:t>
      </w:r>
    </w:p>
    <w:p>
      <w:pPr>
        <w:widowControl/>
        <w:numPr>
          <w:ilvl w:val="0"/>
          <w:numId w:val="0"/>
        </w:numPr>
        <w:spacing w:line="560" w:lineRule="exact"/>
        <w:ind w:firstLine="64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金凤区农发办现有越野车辆一辆</w:t>
      </w:r>
      <w:r>
        <w:rPr>
          <w:rFonts w:hint="eastAsia" w:ascii="仿宋_GB2312" w:hAnsi="宋体" w:eastAsia="仿宋_GB2312" w:cs="宋体"/>
          <w:kern w:val="0"/>
          <w:sz w:val="32"/>
          <w:szCs w:val="32"/>
          <w:lang w:val="en-US" w:eastAsia="zh-CN"/>
        </w:rPr>
        <w:t>.</w:t>
      </w:r>
    </w:p>
    <w:p>
      <w:pPr>
        <w:widowControl/>
        <w:spacing w:line="560" w:lineRule="exact"/>
        <w:ind w:firstLine="640" w:firstLineChars="200"/>
        <w:jc w:val="left"/>
        <w:rPr>
          <w:rFonts w:hint="eastAsia" w:ascii="仿宋" w:hAnsi="仿宋" w:eastAsia="仿宋" w:cs="宋体"/>
          <w:kern w:val="0"/>
          <w:sz w:val="32"/>
          <w:szCs w:val="32"/>
        </w:rPr>
      </w:pP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从预算单位构成看，</w:t>
      </w: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本级预算、所属事业单位预算。</w:t>
      </w:r>
    </w:p>
    <w:p>
      <w:pPr>
        <w:sectPr>
          <w:pgSz w:w="11906" w:h="16838"/>
          <w:pgMar w:top="1440" w:right="1800" w:bottom="1440" w:left="1800" w:header="851" w:footer="992" w:gutter="0"/>
          <w:cols w:space="720" w:num="1"/>
          <w:docGrid w:type="lines" w:linePitch="312" w:charSpace="0"/>
        </w:sectPr>
      </w:pP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金凤区农发办</w:t>
      </w:r>
      <w:r>
        <w:rPr>
          <w:rFonts w:hint="eastAsia" w:ascii="仿宋_GB2312" w:hAnsi="宋体" w:eastAsia="仿宋_GB2312"/>
          <w:b/>
          <w:kern w:val="0"/>
          <w:sz w:val="36"/>
          <w:szCs w:val="36"/>
        </w:rPr>
        <w:t>2019年部门预算——预算表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82.36</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82.36</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82.36</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82.36</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10.79</w:t>
            </w:r>
          </w:p>
        </w:tc>
        <w:tc>
          <w:tcPr>
            <w:tcW w:w="136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10.79</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3.26</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3.26</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63.27</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63.27</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5.04</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5.04</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82.36</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82.36</w:t>
            </w:r>
          </w:p>
        </w:tc>
      </w:tr>
    </w:tbl>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outlineLvl w:val="1"/>
        <w:rPr>
          <w:rFonts w:ascii="仿宋_GB2312" w:hAnsi="宋体" w:eastAsia="仿宋_GB2312"/>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767" w:type="dxa"/>
        <w:tblInd w:w="91" w:type="dxa"/>
        <w:tblLayout w:type="fixed"/>
        <w:tblCellMar>
          <w:top w:w="0" w:type="dxa"/>
          <w:left w:w="108" w:type="dxa"/>
          <w:bottom w:w="0" w:type="dxa"/>
          <w:right w:w="108" w:type="dxa"/>
        </w:tblCellMar>
      </w:tblPr>
      <w:tblGrid>
        <w:gridCol w:w="1097"/>
        <w:gridCol w:w="1440"/>
        <w:gridCol w:w="1247"/>
        <w:gridCol w:w="1247"/>
        <w:gridCol w:w="1247"/>
        <w:gridCol w:w="1247"/>
        <w:gridCol w:w="1247"/>
        <w:gridCol w:w="1247"/>
        <w:gridCol w:w="1247"/>
        <w:gridCol w:w="1247"/>
        <w:gridCol w:w="1254"/>
      </w:tblGrid>
      <w:tr>
        <w:tblPrEx>
          <w:tblLayout w:type="fixed"/>
          <w:tblCellMar>
            <w:top w:w="0" w:type="dxa"/>
            <w:left w:w="108" w:type="dxa"/>
            <w:bottom w:w="0" w:type="dxa"/>
            <w:right w:w="108" w:type="dxa"/>
          </w:tblCellMar>
        </w:tblPrEx>
        <w:trPr>
          <w:trHeight w:val="555" w:hRule="atLeast"/>
        </w:trPr>
        <w:tc>
          <w:tcPr>
            <w:tcW w:w="253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功能分类科目</w:t>
            </w:r>
          </w:p>
        </w:tc>
        <w:tc>
          <w:tcPr>
            <w:tcW w:w="124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预算安排总计</w:t>
            </w:r>
          </w:p>
        </w:tc>
        <w:tc>
          <w:tcPr>
            <w:tcW w:w="4988" w:type="dxa"/>
            <w:gridSpan w:val="4"/>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jc w:val="center"/>
              <w:rPr>
                <w:b/>
                <w:color w:val="000000"/>
                <w:kern w:val="0"/>
                <w:szCs w:val="21"/>
              </w:rPr>
            </w:pPr>
            <w:r>
              <w:rPr>
                <w:rFonts w:hint="eastAsia" w:ascii="宋体" w:hAnsi="宋体" w:cs="宋体"/>
                <w:b/>
                <w:bCs/>
                <w:color w:val="000000"/>
                <w:kern w:val="0"/>
                <w:szCs w:val="21"/>
              </w:rPr>
              <w:t>一般公共财政预算拨款支出</w:t>
            </w:r>
          </w:p>
        </w:tc>
        <w:tc>
          <w:tcPr>
            <w:tcW w:w="4995" w:type="dxa"/>
            <w:gridSpan w:val="4"/>
            <w:tcBorders>
              <w:top w:val="single" w:color="auto" w:sz="4" w:space="0"/>
              <w:left w:val="nil"/>
              <w:bottom w:val="single" w:color="auto" w:sz="4" w:space="0"/>
              <w:right w:val="single" w:color="auto" w:sz="4" w:space="0"/>
            </w:tcBorders>
            <w:vAlign w:val="center"/>
          </w:tcPr>
          <w:p>
            <w:pPr>
              <w:widowControl/>
              <w:jc w:val="center"/>
              <w:rPr>
                <w:b/>
                <w:color w:val="000000"/>
                <w:kern w:val="0"/>
                <w:szCs w:val="21"/>
              </w:rPr>
            </w:pPr>
            <w:r>
              <w:rPr>
                <w:rFonts w:hint="eastAsia"/>
                <w:b/>
                <w:color w:val="000000"/>
                <w:kern w:val="0"/>
                <w:szCs w:val="21"/>
              </w:rPr>
              <w:t>政府性基金预算财政拨款支出</w:t>
            </w:r>
          </w:p>
        </w:tc>
      </w:tr>
      <w:tr>
        <w:tblPrEx>
          <w:tblLayout w:type="fixed"/>
          <w:tblCellMar>
            <w:top w:w="0" w:type="dxa"/>
            <w:left w:w="108" w:type="dxa"/>
            <w:bottom w:w="0" w:type="dxa"/>
            <w:right w:w="108" w:type="dxa"/>
          </w:tblCellMar>
        </w:tblPrEx>
        <w:trPr>
          <w:trHeight w:val="103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科目编码</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科目名称</w:t>
            </w:r>
          </w:p>
        </w:tc>
        <w:tc>
          <w:tcPr>
            <w:tcW w:w="12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专项转移支付安排支出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一般性转移支付安排支出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专项转移支付安排支出</w:t>
            </w:r>
          </w:p>
        </w:tc>
        <w:tc>
          <w:tcPr>
            <w:tcW w:w="1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一般性转移支付安排支出</w:t>
            </w:r>
          </w:p>
        </w:tc>
      </w:tr>
      <w:tr>
        <w:tblPrEx>
          <w:tblLayout w:type="fixed"/>
          <w:tblCellMar>
            <w:top w:w="0" w:type="dxa"/>
            <w:left w:w="108" w:type="dxa"/>
            <w:bottom w:w="0" w:type="dxa"/>
            <w:right w:w="108" w:type="dxa"/>
          </w:tblCellMar>
        </w:tblPrEx>
        <w:trPr>
          <w:trHeight w:val="55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2130601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机构运行</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58.27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58.27</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58.27</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2130699</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eastAsia="zh-CN"/>
              </w:rPr>
              <w:t>其他农业开发支出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59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2210201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住房公积金</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5.04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5.04</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5.04</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9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2080505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eastAsia="zh-CN"/>
              </w:rPr>
              <w:t>机关事业单位养老保险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8.01</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8.01</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8.01</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14"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2080506</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机关事业单位职业年金</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2.11</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2.11</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2.11</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14"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2089901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 xml:space="preserve">  其他社会保障和就业支出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0.67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0.67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0.67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2101101</w:t>
            </w:r>
            <w:r>
              <w:rPr>
                <w:rFonts w:hint="eastAsia" w:ascii="宋体" w:hAnsi="宋体" w:cs="宋体"/>
                <w:color w:val="000000"/>
                <w:kern w:val="0"/>
                <w:sz w:val="20"/>
                <w:szCs w:val="20"/>
              </w:rPr>
              <w:t>　</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eastAsia="zh-CN"/>
              </w:rPr>
              <w:t>事业单位医疗</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3.26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3.26</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3.26</w:t>
            </w: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bl>
    <w:p>
      <w:pPr/>
    </w:p>
    <w:p>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2019年预算数与2018年执行数（决算数）</w:t>
            </w:r>
          </w:p>
        </w:tc>
      </w:tr>
      <w:tr>
        <w:tblPrEx>
          <w:tblLayout w:type="fixed"/>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2130601</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机构运行</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73.95</w:t>
            </w:r>
          </w:p>
        </w:tc>
        <w:tc>
          <w:tcPr>
            <w:tcW w:w="162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58.27</w:t>
            </w:r>
          </w:p>
        </w:tc>
        <w:tc>
          <w:tcPr>
            <w:tcW w:w="18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58.27</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center"/>
              <w:rPr>
                <w:rFonts w:hint="eastAsia" w:eastAsia="宋体"/>
                <w:kern w:val="0"/>
                <w:sz w:val="20"/>
                <w:szCs w:val="20"/>
                <w:lang w:val="en-US" w:eastAsia="zh-CN"/>
              </w:rPr>
            </w:pPr>
            <w:r>
              <w:rPr>
                <w:rFonts w:hint="eastAsia"/>
                <w:kern w:val="0"/>
                <w:sz w:val="20"/>
                <w:szCs w:val="20"/>
                <w:lang w:val="en-US" w:eastAsia="zh-CN"/>
              </w:rPr>
              <w:t>-15.68</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-21.2%</w:t>
            </w:r>
          </w:p>
        </w:tc>
      </w:tr>
      <w:tr>
        <w:tblPrEx>
          <w:tblLayout w:type="fixed"/>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2130699</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其他农业开发支出</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93.31</w:t>
            </w:r>
          </w:p>
        </w:tc>
        <w:tc>
          <w:tcPr>
            <w:tcW w:w="162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5</w:t>
            </w:r>
          </w:p>
        </w:tc>
        <w:tc>
          <w:tcPr>
            <w:tcW w:w="18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5</w:t>
            </w: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-88.31</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-64.64%</w:t>
            </w:r>
          </w:p>
        </w:tc>
      </w:tr>
      <w:tr>
        <w:tblPrEx>
          <w:tblLayout w:type="fixed"/>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2210201</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住房公积金</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4.84</w:t>
            </w:r>
          </w:p>
        </w:tc>
        <w:tc>
          <w:tcPr>
            <w:tcW w:w="162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5.04</w:t>
            </w:r>
          </w:p>
        </w:tc>
        <w:tc>
          <w:tcPr>
            <w:tcW w:w="18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5.04</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+0.2</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+4.13%</w:t>
            </w:r>
          </w:p>
        </w:tc>
      </w:tr>
      <w:tr>
        <w:tblPrEx>
          <w:tblLayout w:type="fixed"/>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2080505</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机关事业单位养老保险</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21.37</w:t>
            </w:r>
          </w:p>
        </w:tc>
        <w:tc>
          <w:tcPr>
            <w:tcW w:w="162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8.01</w:t>
            </w:r>
          </w:p>
        </w:tc>
        <w:tc>
          <w:tcPr>
            <w:tcW w:w="18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8.01</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-13.36</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eastAsia="zh-CN"/>
              </w:rPr>
            </w:pPr>
            <w:r>
              <w:rPr>
                <w:rFonts w:hint="eastAsia"/>
                <w:kern w:val="0"/>
                <w:sz w:val="20"/>
                <w:szCs w:val="20"/>
                <w:lang w:eastAsia="zh-CN"/>
              </w:rPr>
              <w:t>—</w:t>
            </w:r>
            <w:r>
              <w:rPr>
                <w:rFonts w:hint="eastAsia"/>
                <w:kern w:val="0"/>
                <w:sz w:val="20"/>
                <w:szCs w:val="20"/>
                <w:lang w:val="en-US" w:eastAsia="zh-CN"/>
              </w:rPr>
              <w:t>62.52%</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color w:val="000000"/>
                <w:kern w:val="0"/>
                <w:sz w:val="20"/>
                <w:szCs w:val="20"/>
                <w:lang w:val="en-US" w:eastAsia="zh-CN"/>
              </w:rPr>
              <w:t>2080506</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机关事业单位职业年金</w:t>
            </w:r>
          </w:p>
        </w:tc>
        <w:tc>
          <w:tcPr>
            <w:tcW w:w="177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1.02</w:t>
            </w:r>
          </w:p>
        </w:tc>
        <w:tc>
          <w:tcPr>
            <w:tcW w:w="162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2.11</w:t>
            </w:r>
          </w:p>
        </w:tc>
        <w:tc>
          <w:tcPr>
            <w:tcW w:w="18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2.11</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+1.09</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+106.86%</w:t>
            </w:r>
          </w:p>
        </w:tc>
      </w:tr>
      <w:tr>
        <w:tblPrEx>
          <w:tblLayout w:type="fixed"/>
        </w:tblPrEx>
        <w:trPr>
          <w:trHeight w:val="608"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2089901</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其他社会保障和就业支出</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0.56</w:t>
            </w:r>
          </w:p>
        </w:tc>
        <w:tc>
          <w:tcPr>
            <w:tcW w:w="162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0.67</w:t>
            </w:r>
          </w:p>
        </w:tc>
        <w:tc>
          <w:tcPr>
            <w:tcW w:w="18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0.67</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+0.09</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+16.07</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2101101</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事业单位医疗</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3.51</w:t>
            </w:r>
          </w:p>
        </w:tc>
        <w:tc>
          <w:tcPr>
            <w:tcW w:w="162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3.26</w:t>
            </w:r>
          </w:p>
        </w:tc>
        <w:tc>
          <w:tcPr>
            <w:tcW w:w="18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3.26</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eastAsia="zh-CN"/>
              </w:rPr>
            </w:pPr>
            <w:r>
              <w:rPr>
                <w:rFonts w:hint="eastAsia"/>
                <w:kern w:val="0"/>
                <w:sz w:val="20"/>
                <w:szCs w:val="20"/>
                <w:lang w:val="en-US" w:eastAsia="zh-CN"/>
              </w:rPr>
              <w:t>+0.25</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+7.12%</w:t>
            </w: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四、一般公共预算财政拨款基本支出表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Layout w:type="fixed"/>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77.36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77.36</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70.93</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70.93</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16.85</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16.85</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10.2</w:t>
            </w:r>
          </w:p>
        </w:tc>
        <w:tc>
          <w:tcPr>
            <w:tcW w:w="270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10.2</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5.60</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5.60</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8.01</w:t>
            </w:r>
          </w:p>
        </w:tc>
        <w:tc>
          <w:tcPr>
            <w:tcW w:w="270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8.01</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2.11</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2.11</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3.26</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3.26</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0.68</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0.68</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5.04</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5.04</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19.18</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19.18</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6.18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6.18</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0.88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0.88</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0.4</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0.4</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0.05</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0.05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0.36</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0.36</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0.3</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0.3</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PrEx>
        <w:trPr>
          <w:trHeight w:val="9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0.08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0.08</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0.78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0.78</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0.13</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0.13</w:t>
            </w: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3.00</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3.00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0.2</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0.2</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0.25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0.25</w:t>
            </w:r>
          </w:p>
        </w:tc>
        <w:tc>
          <w:tcPr>
            <w:tcW w:w="2340" w:type="dxa"/>
            <w:tcBorders>
              <w:top w:val="nil"/>
              <w:left w:val="nil"/>
              <w:bottom w:val="single" w:color="auto" w:sz="4" w:space="0"/>
              <w:right w:val="single" w:color="auto" w:sz="4" w:space="0"/>
            </w:tcBorders>
            <w:vAlign w:val="center"/>
          </w:tcPr>
          <w:p>
            <w:pPr>
              <w:rPr>
                <w:rFonts w:hint="eastAsia" w:ascii="宋体" w:hAnsi="宋体" w:eastAsia="宋体" w:cs="宋体"/>
                <w:sz w:val="22"/>
                <w:szCs w:val="22"/>
                <w:lang w:val="en-US" w:eastAsia="zh-CN"/>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0.25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0.25</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outlineLvl w:val="1"/>
        <w:rPr>
          <w:rFonts w:ascii="黑体" w:hAnsi="宋体" w:eastAsia="黑体"/>
          <w:b/>
          <w:kern w:val="0"/>
          <w:sz w:val="32"/>
          <w:szCs w:val="32"/>
        </w:rPr>
      </w:pPr>
      <w:r>
        <w:rPr>
          <w:rFonts w:hint="eastAsia" w:ascii="黑体" w:hAnsi="宋体" w:eastAsia="黑体"/>
          <w:b/>
          <w:kern w:val="0"/>
          <w:sz w:val="32"/>
          <w:szCs w:val="32"/>
          <w:lang w:val="en-US" w:eastAsia="zh-CN"/>
        </w:rPr>
        <w:t xml:space="preserve">   </w:t>
      </w:r>
      <w:r>
        <w:rPr>
          <w:rFonts w:hint="eastAsia" w:ascii="黑体" w:hAnsi="宋体" w:eastAsia="黑体"/>
          <w:b/>
          <w:kern w:val="0"/>
          <w:sz w:val="32"/>
          <w:szCs w:val="32"/>
        </w:rPr>
        <w:t>五、一般公共预算财政拨款“三公”经费支出表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一般公共预算财政拨款“三公”经费支出表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Layout w:type="fixed"/>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r>
      <w:tr>
        <w:tblPrEx>
          <w:tblLayout w:type="fixed"/>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Layout w:type="fixed"/>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3</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3</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2.14</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2.14</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3</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3</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ind w:firstLine="627" w:firstLineChars="196"/>
        <w:outlineLvl w:val="1"/>
        <w:rPr>
          <w:rFonts w:ascii="黑体" w:hAnsi="宋体" w:eastAsia="黑体"/>
          <w:b/>
          <w:kern w:val="0"/>
          <w:sz w:val="32"/>
          <w:szCs w:val="32"/>
        </w:rPr>
      </w:pP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rPr>
        <w:t>六、政府性基金预算财政拨款支出表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9"/>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Layout w:type="fixed"/>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2019年预算数与2018年执行数（决算数）</w:t>
            </w:r>
          </w:p>
        </w:tc>
      </w:tr>
      <w:tr>
        <w:tblPrEx>
          <w:tblLayout w:type="fixed"/>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9"/>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Layout w:type="fixed"/>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82.36</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82.36</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82.36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82.36</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3.87</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3.87</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3.87</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3.87</w:t>
            </w:r>
          </w:p>
        </w:tc>
      </w:tr>
      <w:tr>
        <w:tblPrEx>
          <w:tblLayout w:type="fixed"/>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86.23</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86.23</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jc w:val="left"/>
        <w:outlineLvl w:val="1"/>
        <w:rPr>
          <w:rFonts w:ascii="仿宋_GB2312" w:hAnsi="宋体" w:eastAsia="仿宋_GB2312"/>
          <w:kern w:val="0"/>
          <w:sz w:val="32"/>
          <w:szCs w:val="32"/>
        </w:rPr>
      </w:pPr>
    </w:p>
    <w:p>
      <w:pPr>
        <w:widowControl/>
        <w:ind w:firstLine="640" w:firstLineChars="200"/>
        <w:jc w:val="left"/>
        <w:outlineLvl w:val="1"/>
        <w:rPr>
          <w:rFonts w:ascii="黑体" w:hAnsi="宋体" w:eastAsia="黑体"/>
          <w:b/>
          <w:bCs/>
          <w:kern w:val="0"/>
          <w:sz w:val="32"/>
          <w:szCs w:val="32"/>
        </w:rPr>
      </w:pPr>
    </w:p>
    <w:p>
      <w:pPr>
        <w:widowControl/>
        <w:ind w:firstLine="640" w:firstLineChars="200"/>
        <w:jc w:val="left"/>
        <w:outlineLvl w:val="1"/>
        <w:rPr>
          <w:rFonts w:ascii="黑体" w:hAnsi="宋体" w:eastAsia="黑体"/>
          <w:b/>
          <w:bCs/>
          <w:kern w:val="0"/>
          <w:sz w:val="32"/>
          <w:szCs w:val="32"/>
        </w:rPr>
      </w:pPr>
      <w:r>
        <w:rPr>
          <w:rFonts w:hint="eastAsia" w:ascii="黑体" w:hAnsi="宋体" w:eastAsia="黑体"/>
          <w:b/>
          <w:bCs/>
          <w:kern w:val="0"/>
          <w:sz w:val="32"/>
          <w:szCs w:val="32"/>
        </w:rPr>
        <w:t>八、部门收入总表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部门收入总表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90" w:type="dxa"/>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Layout w:type="fixed"/>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Layout w:type="fixed"/>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82.36</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82.36</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82.36</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九、部门支出总表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部门支出总表</w:t>
      </w:r>
    </w:p>
    <w:p>
      <w:pPr>
        <w:rPr>
          <w:szCs w:val="21"/>
        </w:rPr>
      </w:pPr>
      <w:r>
        <w:rPr>
          <w:rFonts w:hint="eastAsia" w:ascii="仿宋_GB2312" w:hAnsi="宋体" w:eastAsia="仿宋_GB2312"/>
          <w:kern w:val="0"/>
          <w:sz w:val="32"/>
          <w:szCs w:val="32"/>
        </w:rPr>
        <w:t xml:space="preserve">                                                                           单位：万元</w:t>
      </w:r>
    </w:p>
    <w:tbl>
      <w:tblPr>
        <w:tblStyle w:val="9"/>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Layout w:type="fixed"/>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01" w:right="1440" w:bottom="1701" w:left="1440" w:header="851" w:footer="992" w:gutter="0"/>
          <w:cols w:space="720" w:num="1"/>
          <w:docGrid w:type="linesAndChars" w:linePitch="312" w:charSpace="0"/>
        </w:sectPr>
      </w:pPr>
    </w:p>
    <w:p>
      <w:pPr>
        <w:widowControl/>
        <w:jc w:val="center"/>
        <w:outlineLvl w:val="1"/>
        <w:rPr>
          <w:rFonts w:hint="eastAsia" w:ascii="仿宋_GB2312" w:hAnsi="宋体" w:eastAsia="仿宋_GB2312"/>
          <w:b/>
          <w:bCs/>
          <w:kern w:val="0"/>
          <w:sz w:val="36"/>
          <w:szCs w:val="36"/>
          <w:lang w:eastAsia="zh-CN"/>
        </w:rPr>
      </w:pPr>
      <w:r>
        <w:rPr>
          <w:rFonts w:hint="eastAsia" w:ascii="仿宋_GB2312" w:hAnsi="宋体" w:eastAsia="仿宋_GB2312"/>
          <w:b/>
          <w:bCs/>
          <w:kern w:val="0"/>
          <w:sz w:val="36"/>
          <w:szCs w:val="36"/>
          <w:lang w:eastAsia="zh-CN"/>
        </w:rPr>
        <w:t>金凤区农业综合开发办公室</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2019年部门预算——部门预算情况说明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eastAsia="zh-CN"/>
        </w:rPr>
        <w:t>金凤区农发办</w:t>
      </w:r>
      <w:r>
        <w:rPr>
          <w:rFonts w:hint="eastAsia" w:ascii="黑体" w:eastAsia="黑体" w:cs="宋体"/>
          <w:b/>
          <w:bCs/>
          <w:kern w:val="0"/>
          <w:sz w:val="32"/>
          <w:szCs w:val="32"/>
        </w:rPr>
        <w:t>2019年财政拨款收支预算情况的总体说明</w:t>
      </w:r>
    </w:p>
    <w:p>
      <w:pPr>
        <w:widowControl/>
        <w:spacing w:line="560" w:lineRule="exact"/>
        <w:ind w:firstLine="480"/>
        <w:jc w:val="left"/>
        <w:rPr>
          <w:rFonts w:ascii="仿宋" w:hAnsi="仿宋" w:eastAsia="仿宋" w:cs="宋体"/>
          <w:kern w:val="0"/>
          <w:sz w:val="32"/>
          <w:szCs w:val="32"/>
        </w:rPr>
      </w:pPr>
      <w:r>
        <w:rPr>
          <w:rFonts w:hint="eastAsia" w:ascii="仿宋_GB2312" w:hAnsi="宋体" w:eastAsia="仿宋_GB2312" w:cs="宋体"/>
          <w:kern w:val="0"/>
          <w:sz w:val="32"/>
          <w:szCs w:val="32"/>
          <w:lang w:eastAsia="zh-CN"/>
        </w:rPr>
        <w:t>金凤区农发办</w:t>
      </w:r>
      <w:r>
        <w:rPr>
          <w:rFonts w:hint="eastAsia" w:ascii="仿宋" w:hAnsi="仿宋" w:eastAsia="仿宋" w:cs="宋体"/>
          <w:kern w:val="0"/>
          <w:sz w:val="32"/>
          <w:szCs w:val="32"/>
        </w:rPr>
        <w:t>2019年财政拨款收入预算</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万元，包括一般公共预算拨款</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万元。支出预算</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万元，包括：社会保障和就业支出</w:t>
      </w:r>
      <w:r>
        <w:rPr>
          <w:rFonts w:hint="eastAsia" w:ascii="仿宋" w:hAnsi="仿宋" w:eastAsia="仿宋" w:cs="宋体"/>
          <w:kern w:val="0"/>
          <w:sz w:val="32"/>
          <w:szCs w:val="32"/>
          <w:lang w:val="en-US" w:eastAsia="zh-CN"/>
        </w:rPr>
        <w:t>10.76</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农林水支出</w:t>
      </w:r>
      <w:r>
        <w:rPr>
          <w:rFonts w:hint="eastAsia" w:ascii="仿宋" w:hAnsi="仿宋" w:eastAsia="仿宋" w:cs="宋体"/>
          <w:kern w:val="0"/>
          <w:sz w:val="32"/>
          <w:szCs w:val="32"/>
          <w:lang w:val="en-US" w:eastAsia="zh-CN"/>
        </w:rPr>
        <w:t>63.27万元，</w:t>
      </w:r>
      <w:r>
        <w:rPr>
          <w:rFonts w:hint="eastAsia" w:ascii="仿宋" w:hAnsi="仿宋" w:eastAsia="仿宋" w:cs="宋体"/>
          <w:kern w:val="0"/>
          <w:sz w:val="32"/>
          <w:szCs w:val="32"/>
          <w:lang w:eastAsia="zh-CN"/>
        </w:rPr>
        <w:t>卫生和健康支出</w:t>
      </w:r>
      <w:r>
        <w:rPr>
          <w:rFonts w:hint="eastAsia" w:ascii="仿宋" w:hAnsi="仿宋" w:eastAsia="仿宋" w:cs="宋体"/>
          <w:kern w:val="0"/>
          <w:sz w:val="32"/>
          <w:szCs w:val="32"/>
          <w:lang w:val="en-US" w:eastAsia="zh-CN"/>
        </w:rPr>
        <w:t>3.26万元，</w:t>
      </w:r>
      <w:r>
        <w:rPr>
          <w:rFonts w:hint="eastAsia" w:ascii="仿宋" w:hAnsi="仿宋" w:eastAsia="仿宋" w:cs="宋体"/>
          <w:kern w:val="0"/>
          <w:sz w:val="32"/>
          <w:szCs w:val="32"/>
        </w:rPr>
        <w:t>住房保障支出</w:t>
      </w:r>
      <w:r>
        <w:rPr>
          <w:rFonts w:hint="eastAsia" w:ascii="仿宋" w:hAnsi="仿宋" w:eastAsia="仿宋" w:cs="宋体"/>
          <w:kern w:val="0"/>
          <w:sz w:val="32"/>
          <w:szCs w:val="32"/>
          <w:lang w:val="en-US" w:eastAsia="zh-CN"/>
        </w:rPr>
        <w:t>5.04</w:t>
      </w:r>
      <w:r>
        <w:rPr>
          <w:rFonts w:hint="eastAsia" w:ascii="仿宋" w:hAnsi="仿宋" w:eastAsia="仿宋"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宋体" w:eastAsia="黑体" w:cs="宋体"/>
          <w:b/>
          <w:bCs/>
          <w:kern w:val="0"/>
          <w:sz w:val="32"/>
          <w:szCs w:val="32"/>
          <w:lang w:eastAsia="zh-CN"/>
        </w:rPr>
        <w:t>金凤区农发办</w:t>
      </w:r>
      <w:r>
        <w:rPr>
          <w:rFonts w:hint="eastAsia" w:ascii="黑体" w:hAnsi="宋体" w:eastAsia="黑体" w:cs="宋体"/>
          <w:b/>
          <w:bCs/>
          <w:kern w:val="0"/>
          <w:sz w:val="32"/>
          <w:szCs w:val="32"/>
        </w:rPr>
        <w:t>2019年一般公共预算财政拨款支出情况说明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2019年一般公共预算财政拨款基本支出</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万元，其中：本年收入安排支出</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万元。比2018年执行数（决算数）减少</w:t>
      </w:r>
      <w:r>
        <w:rPr>
          <w:rFonts w:hint="eastAsia" w:ascii="仿宋" w:hAnsi="仿宋" w:eastAsia="仿宋" w:cs="宋体"/>
          <w:kern w:val="0"/>
          <w:sz w:val="32"/>
          <w:szCs w:val="32"/>
          <w:lang w:val="en-US" w:eastAsia="zh-CN"/>
        </w:rPr>
        <w:t>112.1</w:t>
      </w:r>
      <w:r>
        <w:rPr>
          <w:rFonts w:hint="eastAsia" w:ascii="仿宋" w:hAnsi="仿宋" w:eastAsia="仿宋" w:cs="宋体"/>
          <w:kern w:val="0"/>
          <w:sz w:val="32"/>
          <w:szCs w:val="32"/>
        </w:rPr>
        <w:t>万元，下</w:t>
      </w:r>
      <w:r>
        <w:rPr>
          <w:rFonts w:hint="eastAsia" w:ascii="仿宋" w:hAnsi="仿宋" w:eastAsia="仿宋" w:cs="宋体"/>
          <w:kern w:val="0"/>
          <w:sz w:val="32"/>
          <w:szCs w:val="32"/>
          <w:lang w:eastAsia="zh-CN"/>
        </w:rPr>
        <w:t>降</w:t>
      </w:r>
      <w:r>
        <w:rPr>
          <w:rFonts w:hint="eastAsia" w:ascii="仿宋" w:hAnsi="仿宋" w:eastAsia="仿宋" w:cs="宋体"/>
          <w:kern w:val="0"/>
          <w:sz w:val="32"/>
          <w:szCs w:val="32"/>
          <w:lang w:val="en-US" w:eastAsia="zh-CN"/>
        </w:rPr>
        <w:t>57.65</w:t>
      </w:r>
      <w:r>
        <w:rPr>
          <w:rFonts w:hint="eastAsia" w:ascii="仿宋" w:hAnsi="仿宋" w:eastAsia="仿宋" w:cs="宋体"/>
          <w:kern w:val="0"/>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基本</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val="en-US" w:eastAsia="zh-CN"/>
        </w:rPr>
        <w:t>77.36万</w:t>
      </w:r>
      <w:r>
        <w:rPr>
          <w:rFonts w:hint="eastAsia" w:ascii="仿宋_GB2312" w:hAnsi="仿宋_GB2312" w:eastAsia="仿宋_GB2312" w:cs="仿宋_GB2312"/>
          <w:b/>
          <w:bCs/>
          <w:sz w:val="32"/>
          <w:szCs w:val="32"/>
        </w:rPr>
        <w:t>元</w:t>
      </w:r>
      <w:r>
        <w:rPr>
          <w:rFonts w:hint="eastAsia" w:ascii="仿宋_GB2312" w:hAnsi="仿宋_GB2312" w:eastAsia="仿宋_GB2312" w:cs="仿宋_GB2312"/>
          <w:b/>
          <w:bCs/>
          <w:sz w:val="32"/>
          <w:szCs w:val="32"/>
          <w:lang w:eastAsia="zh-CN"/>
        </w:rPr>
        <w:t>：</w: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（一）工资福利支出</w:t>
      </w:r>
      <w:r>
        <w:rPr>
          <w:rFonts w:hint="eastAsia" w:ascii="仿宋_GB2312" w:hAnsi="仿宋_GB2312" w:eastAsia="仿宋_GB2312" w:cs="仿宋_GB2312"/>
          <w:b/>
          <w:bCs/>
          <w:sz w:val="32"/>
          <w:szCs w:val="32"/>
          <w:lang w:val="en-US" w:eastAsia="zh-CN"/>
        </w:rPr>
        <w:t>70.93万</w:t>
      </w:r>
      <w:r>
        <w:rPr>
          <w:rFonts w:hint="eastAsia" w:ascii="仿宋_GB2312" w:hAnsi="仿宋_GB2312" w:eastAsia="仿宋_GB2312" w:cs="仿宋_GB2312"/>
          <w:b/>
          <w:bCs/>
          <w:sz w:val="32"/>
          <w:szCs w:val="32"/>
        </w:rPr>
        <w:t>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1、工资性支出</w:t>
      </w:r>
      <w:r>
        <w:rPr>
          <w:rFonts w:hint="eastAsia" w:ascii="仿宋_GB2312" w:hAnsi="仿宋_GB2312" w:eastAsia="仿宋_GB2312" w:cs="仿宋_GB2312"/>
          <w:sz w:val="32"/>
          <w:szCs w:val="32"/>
          <w:lang w:val="en-US" w:eastAsia="zh-CN"/>
        </w:rPr>
        <w:t>26.37万</w:t>
      </w:r>
      <w:r>
        <w:rPr>
          <w:rFonts w:hint="eastAsia" w:ascii="仿宋_GB2312" w:hAnsi="仿宋_GB2312" w:eastAsia="仿宋_GB2312" w:cs="仿宋_GB2312"/>
          <w:sz w:val="32"/>
          <w:szCs w:val="32"/>
        </w:rPr>
        <w:t>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其中：基本工资</w:t>
      </w:r>
      <w:r>
        <w:rPr>
          <w:rFonts w:hint="eastAsia" w:ascii="仿宋_GB2312" w:hAnsi="仿宋_GB2312" w:eastAsia="仿宋_GB2312" w:cs="仿宋_GB2312"/>
          <w:sz w:val="32"/>
          <w:szCs w:val="32"/>
          <w:lang w:val="en-US" w:eastAsia="zh-CN"/>
        </w:rPr>
        <w:t>16.85万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津贴补贴</w:t>
      </w:r>
      <w:r>
        <w:rPr>
          <w:rFonts w:hint="eastAsia" w:ascii="仿宋_GB2312" w:hAnsi="仿宋_GB2312" w:eastAsia="仿宋_GB2312" w:cs="仿宋_GB2312"/>
          <w:sz w:val="32"/>
          <w:szCs w:val="32"/>
          <w:lang w:val="en-US" w:eastAsia="zh-CN"/>
        </w:rPr>
        <w:t>8.12万元，年终一次性奖金1.40万元。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个人取暖补贴</w:t>
      </w:r>
      <w:r>
        <w:rPr>
          <w:rFonts w:hint="eastAsia" w:ascii="仿宋_GB2312" w:hAnsi="仿宋_GB2312" w:eastAsia="仿宋_GB2312" w:cs="仿宋_GB2312"/>
          <w:sz w:val="32"/>
          <w:szCs w:val="32"/>
          <w:lang w:val="en-US" w:eastAsia="zh-CN"/>
        </w:rPr>
        <w:t>2.08万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社会保障缴费</w:t>
      </w:r>
      <w:r>
        <w:rPr>
          <w:rFonts w:hint="eastAsia" w:ascii="仿宋_GB2312" w:hAnsi="仿宋_GB2312" w:eastAsia="仿宋_GB2312" w:cs="仿宋_GB2312"/>
          <w:sz w:val="32"/>
          <w:szCs w:val="32"/>
          <w:lang w:val="en-US" w:eastAsia="zh-CN"/>
        </w:rPr>
        <w:t>14.06万</w:t>
      </w:r>
      <w:r>
        <w:rPr>
          <w:rFonts w:hint="eastAsia" w:ascii="仿宋_GB2312" w:hAnsi="仿宋_GB2312" w:eastAsia="仿宋_GB2312" w:cs="仿宋_GB2312"/>
          <w:sz w:val="32"/>
          <w:szCs w:val="32"/>
        </w:rPr>
        <w:t>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其中：（1）</w:t>
      </w:r>
      <w:r>
        <w:rPr>
          <w:rFonts w:hint="eastAsia" w:ascii="仿宋_GB2312" w:hAnsi="仿宋_GB2312" w:eastAsia="仿宋_GB2312" w:cs="仿宋_GB2312"/>
          <w:sz w:val="32"/>
          <w:szCs w:val="32"/>
          <w:lang w:eastAsia="zh-CN"/>
        </w:rPr>
        <w:t>机关事业</w:t>
      </w:r>
      <w:r>
        <w:rPr>
          <w:rFonts w:hint="eastAsia" w:ascii="仿宋_GB2312" w:hAnsi="仿宋_GB2312" w:eastAsia="仿宋_GB2312" w:cs="仿宋_GB2312"/>
          <w:sz w:val="32"/>
          <w:szCs w:val="32"/>
        </w:rPr>
        <w:t>单位养老保险</w:t>
      </w:r>
      <w:r>
        <w:rPr>
          <w:rFonts w:hint="eastAsia" w:ascii="仿宋_GB2312" w:hAnsi="仿宋_GB2312" w:eastAsia="仿宋_GB2312" w:cs="仿宋_GB2312"/>
          <w:sz w:val="32"/>
          <w:szCs w:val="32"/>
          <w:lang w:val="en-US" w:eastAsia="zh-CN"/>
        </w:rPr>
        <w:t>5.28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机关事业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职业年金</w:t>
      </w:r>
      <w:r>
        <w:rPr>
          <w:rFonts w:hint="eastAsia" w:ascii="仿宋_GB2312" w:hAnsi="仿宋_GB2312" w:eastAsia="仿宋_GB2312" w:cs="仿宋_GB2312"/>
          <w:sz w:val="32"/>
          <w:szCs w:val="32"/>
          <w:lang w:val="en-US" w:eastAsia="zh-CN"/>
        </w:rPr>
        <w:t>2.11万元；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事业单位医保</w:t>
      </w:r>
      <w:r>
        <w:rPr>
          <w:rFonts w:hint="eastAsia" w:ascii="仿宋_GB2312" w:hAnsi="仿宋_GB2312" w:eastAsia="仿宋_GB2312" w:cs="仿宋_GB2312"/>
          <w:sz w:val="32"/>
          <w:szCs w:val="32"/>
          <w:lang w:val="en-US" w:eastAsia="zh-CN"/>
        </w:rPr>
        <w:t>3.26万元；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事业单位失业保险</w:t>
      </w:r>
      <w:r>
        <w:rPr>
          <w:rFonts w:hint="eastAsia" w:ascii="仿宋_GB2312" w:hAnsi="仿宋_GB2312" w:eastAsia="仿宋_GB2312" w:cs="仿宋_GB2312"/>
          <w:sz w:val="32"/>
          <w:szCs w:val="32"/>
          <w:lang w:val="en-US" w:eastAsia="zh-CN"/>
        </w:rPr>
        <w:t>0.07万元；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事业单位生育保险</w:t>
      </w:r>
      <w:r>
        <w:rPr>
          <w:rFonts w:hint="eastAsia" w:ascii="仿宋_GB2312" w:hAnsi="仿宋_GB2312" w:eastAsia="仿宋_GB2312" w:cs="仿宋_GB2312"/>
          <w:sz w:val="32"/>
          <w:szCs w:val="32"/>
          <w:lang w:val="en-US" w:eastAsia="zh-CN"/>
        </w:rPr>
        <w:t>0.41万元；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）事业单位工伤保险</w:t>
      </w:r>
      <w:r>
        <w:rPr>
          <w:rFonts w:hint="eastAsia" w:ascii="仿宋_GB2312" w:hAnsi="仿宋_GB2312" w:eastAsia="仿宋_GB2312" w:cs="仿宋_GB2312"/>
          <w:sz w:val="32"/>
          <w:szCs w:val="32"/>
          <w:lang w:val="en-US" w:eastAsia="zh-CN"/>
        </w:rPr>
        <w:t>0.07万</w:t>
      </w:r>
      <w:r>
        <w:rPr>
          <w:rFonts w:hint="eastAsia" w:ascii="仿宋_GB2312" w:hAnsi="仿宋_GB2312" w:eastAsia="仿宋_GB2312" w:cs="仿宋_GB2312"/>
          <w:sz w:val="32"/>
          <w:szCs w:val="32"/>
        </w:rPr>
        <w:t>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非在编人员养老保险</w:t>
      </w:r>
      <w:r>
        <w:rPr>
          <w:rFonts w:hint="eastAsia" w:ascii="仿宋_GB2312" w:hAnsi="仿宋_GB2312" w:eastAsia="仿宋_GB2312" w:cs="仿宋_GB2312"/>
          <w:sz w:val="32"/>
          <w:szCs w:val="32"/>
          <w:lang w:val="en-US" w:eastAsia="zh-CN"/>
        </w:rPr>
        <w:t>2.73万</w:t>
      </w:r>
      <w:r>
        <w:rPr>
          <w:rFonts w:hint="eastAsia" w:ascii="仿宋_GB2312" w:hAnsi="仿宋_GB2312" w:eastAsia="仿宋_GB2312" w:cs="仿宋_GB2312"/>
          <w:sz w:val="32"/>
          <w:szCs w:val="32"/>
        </w:rPr>
        <w:t>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5.04万</w:t>
      </w:r>
      <w:r>
        <w:rPr>
          <w:rFonts w:hint="eastAsia" w:ascii="仿宋_GB2312" w:hAnsi="仿宋_GB2312" w:eastAsia="仿宋_GB2312" w:cs="仿宋_GB2312"/>
          <w:sz w:val="32"/>
          <w:szCs w:val="32"/>
        </w:rPr>
        <w:t>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 其他工资福利支出：各类奖金4.2元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lang w:val="en-US" w:eastAsia="zh-CN"/>
        </w:rPr>
        <w:t>19.18万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（复转军人工资及采暖费）</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（二）对个人和家庭的补助支出</w:t>
      </w:r>
      <w:r>
        <w:rPr>
          <w:rFonts w:hint="eastAsia" w:ascii="仿宋_GB2312" w:hAnsi="仿宋_GB2312" w:eastAsia="仿宋_GB2312" w:cs="仿宋_GB2312"/>
          <w:b/>
          <w:bCs/>
          <w:sz w:val="32"/>
          <w:szCs w:val="32"/>
          <w:lang w:val="en-US" w:eastAsia="zh-CN"/>
        </w:rPr>
        <w:t>0.25万</w:t>
      </w:r>
      <w:r>
        <w:rPr>
          <w:rFonts w:hint="eastAsia" w:ascii="仿宋_GB2312" w:hAnsi="仿宋_GB2312" w:eastAsia="仿宋_GB2312" w:cs="仿宋_GB2312"/>
          <w:b/>
          <w:bCs/>
          <w:sz w:val="32"/>
          <w:szCs w:val="32"/>
        </w:rPr>
        <w:t>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、职工福利费</w:t>
      </w:r>
      <w:r>
        <w:rPr>
          <w:rFonts w:hint="eastAsia" w:ascii="仿宋_GB2312" w:hAnsi="仿宋_GB2312" w:eastAsia="仿宋_GB2312" w:cs="仿宋_GB2312"/>
          <w:sz w:val="32"/>
          <w:szCs w:val="32"/>
          <w:lang w:val="en-US" w:eastAsia="zh-CN"/>
        </w:rPr>
        <w:t>0.01万</w:t>
      </w:r>
      <w:r>
        <w:rPr>
          <w:rFonts w:hint="eastAsia" w:ascii="仿宋_GB2312" w:hAnsi="仿宋_GB2312" w:eastAsia="仿宋_GB2312" w:cs="仿宋_GB2312"/>
          <w:sz w:val="32"/>
          <w:szCs w:val="32"/>
        </w:rPr>
        <w:t>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2、司机出车补助0.24万元</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(三)商品和服务支出</w:t>
      </w:r>
      <w:r>
        <w:rPr>
          <w:rFonts w:hint="eastAsia" w:ascii="仿宋_GB2312" w:hAnsi="仿宋_GB2312" w:eastAsia="仿宋_GB2312" w:cs="仿宋_GB2312"/>
          <w:b/>
          <w:bCs/>
          <w:sz w:val="32"/>
          <w:szCs w:val="32"/>
          <w:lang w:val="en-US" w:eastAsia="zh-CN"/>
        </w:rPr>
        <w:t>6.18</w:t>
      </w:r>
      <w:r>
        <w:rPr>
          <w:rFonts w:hint="eastAsia" w:ascii="仿宋_GB2312" w:hAnsi="仿宋_GB2312" w:eastAsia="仿宋_GB2312" w:cs="仿宋_GB2312"/>
          <w:b/>
          <w:bCs/>
          <w:sz w:val="32"/>
          <w:szCs w:val="32"/>
        </w:rPr>
        <w:t>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公用经费</w:t>
      </w:r>
      <w:r>
        <w:rPr>
          <w:rFonts w:hint="eastAsia" w:ascii="仿宋_GB2312" w:hAnsi="仿宋_GB2312" w:eastAsia="仿宋_GB2312" w:cs="仿宋_GB2312"/>
          <w:sz w:val="32"/>
          <w:szCs w:val="32"/>
          <w:lang w:val="en-US" w:eastAsia="zh-CN"/>
        </w:rPr>
        <w:t>2.4万</w:t>
      </w:r>
      <w:r>
        <w:rPr>
          <w:rFonts w:hint="eastAsia" w:ascii="仿宋_GB2312" w:hAnsi="仿宋_GB2312" w:eastAsia="仿宋_GB2312" w:cs="仿宋_GB2312"/>
          <w:sz w:val="32"/>
          <w:szCs w:val="32"/>
        </w:rPr>
        <w:t>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0.78万元；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3、公车运行维护费3万元；</w:t>
      </w:r>
    </w:p>
    <w:p>
      <w:pPr>
        <w:widowControl/>
        <w:spacing w:line="560" w:lineRule="exact"/>
        <w:ind w:firstLine="480"/>
        <w:jc w:val="left"/>
        <w:rPr>
          <w:rFonts w:hint="eastAsia" w:ascii="仿宋_GB2312" w:hAnsi="仿宋_GB2312" w:eastAsia="仿宋_GB2312" w:cs="仿宋_GB2312"/>
          <w:kern w:val="0"/>
          <w:sz w:val="32"/>
          <w:szCs w:val="32"/>
        </w:rPr>
      </w:pP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2019年一般公共预算财政拨款项目支出</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万元，其中：本年收入安排支出</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万元，</w:t>
      </w:r>
    </w:p>
    <w:p>
      <w:pPr>
        <w:widowControl/>
        <w:spacing w:line="560" w:lineRule="exact"/>
        <w:ind w:firstLine="480"/>
        <w:jc w:val="left"/>
        <w:rPr>
          <w:rFonts w:hint="eastAsia" w:ascii="仿宋" w:hAnsi="仿宋" w:eastAsia="仿宋_GB2312" w:cs="宋体"/>
          <w:kern w:val="0"/>
          <w:sz w:val="32"/>
          <w:szCs w:val="32"/>
          <w:lang w:val="en-US" w:eastAsia="zh-CN"/>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年一般公共预算拨款</w:t>
      </w:r>
      <w:r>
        <w:rPr>
          <w:rFonts w:hint="eastAsia" w:ascii="仿宋_GB2312" w:hAnsi="宋体" w:eastAsia="仿宋_GB2312" w:cs="宋体"/>
          <w:kern w:val="0"/>
          <w:sz w:val="32"/>
          <w:szCs w:val="32"/>
          <w:lang w:eastAsia="zh-CN"/>
        </w:rPr>
        <w:t>农林水支出其他农业开发</w:t>
      </w:r>
      <w:r>
        <w:rPr>
          <w:rFonts w:hint="eastAsia" w:ascii="仿宋_GB2312" w:hAnsi="宋体" w:eastAsia="仿宋_GB2312" w:cs="宋体"/>
          <w:kern w:val="0"/>
          <w:sz w:val="32"/>
          <w:szCs w:val="32"/>
        </w:rPr>
        <w:t>项目支出</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万元，</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金凤</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农业综合开发项目</w:t>
      </w:r>
      <w:r>
        <w:rPr>
          <w:rFonts w:hint="eastAsia" w:ascii="仿宋_GB2312" w:hAnsi="仿宋_GB2312" w:eastAsia="仿宋_GB2312" w:cs="仿宋_GB2312"/>
          <w:sz w:val="32"/>
          <w:szCs w:val="32"/>
          <w:lang w:eastAsia="zh-CN"/>
        </w:rPr>
        <w:t>其他农业开发工作经费支出。</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eastAsia="zh-CN"/>
        </w:rPr>
        <w:t>金凤区农发办</w:t>
      </w:r>
      <w:r>
        <w:rPr>
          <w:rFonts w:hint="eastAsia" w:ascii="黑体" w:hAnsi="宋体" w:eastAsia="黑体" w:cs="宋体"/>
          <w:b/>
          <w:bCs/>
          <w:kern w:val="0"/>
          <w:sz w:val="32"/>
          <w:szCs w:val="32"/>
        </w:rPr>
        <w:t>2019年一般公共预算财政拨款“三公”经费预算情况说明</w:t>
      </w:r>
    </w:p>
    <w:p>
      <w:pPr>
        <w:widowControl/>
        <w:spacing w:line="560" w:lineRule="exact"/>
        <w:ind w:firstLine="480"/>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2019年“三公”经费财政拨款预算数为    万元，</w:t>
      </w:r>
      <w:r>
        <w:rPr>
          <w:rFonts w:hint="eastAsia" w:ascii="仿宋" w:hAnsi="仿宋" w:eastAsia="仿宋" w:cs="宋体"/>
          <w:kern w:val="0"/>
          <w:sz w:val="32"/>
          <w:szCs w:val="32"/>
          <w:lang w:eastAsia="zh-CN"/>
        </w:rPr>
        <w:t>其中</w:t>
      </w:r>
      <w:r>
        <w:rPr>
          <w:rFonts w:hint="eastAsia" w:ascii="仿宋" w:hAnsi="仿宋" w:eastAsia="仿宋" w:cs="宋体"/>
          <w:kern w:val="0"/>
          <w:sz w:val="32"/>
          <w:szCs w:val="32"/>
        </w:rPr>
        <w:t>公务用车运行费</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本单位</w:t>
      </w:r>
      <w:r>
        <w:rPr>
          <w:rFonts w:hint="eastAsia" w:ascii="仿宋" w:hAnsi="仿宋" w:eastAsia="仿宋" w:cs="宋体"/>
          <w:kern w:val="0"/>
          <w:sz w:val="32"/>
          <w:szCs w:val="32"/>
          <w:lang w:val="en-US" w:eastAsia="zh-CN"/>
        </w:rPr>
        <w:t>2019年无公务接待费和公务车购置费预算。</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2019年“三公”经费财政拨款预算</w:t>
      </w:r>
      <w:r>
        <w:rPr>
          <w:rFonts w:hint="eastAsia" w:ascii="仿宋" w:hAnsi="仿宋" w:eastAsia="仿宋" w:cs="宋体"/>
          <w:kern w:val="0"/>
          <w:sz w:val="32"/>
          <w:szCs w:val="32"/>
          <w:lang w:eastAsia="zh-CN"/>
        </w:rPr>
        <w:t>与</w:t>
      </w: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预算无变化。</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eastAsia="zh-CN"/>
        </w:rPr>
        <w:t>金凤区农发办</w:t>
      </w:r>
      <w:r>
        <w:rPr>
          <w:rFonts w:hint="eastAsia" w:ascii="黑体" w:hAnsi="宋体" w:eastAsia="黑体" w:cs="宋体"/>
          <w:b/>
          <w:bCs/>
          <w:kern w:val="0"/>
          <w:sz w:val="32"/>
          <w:szCs w:val="32"/>
        </w:rPr>
        <w:t>2019年政府性基金预算拨款情况说明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b/>
          <w:bCs/>
          <w:kern w:val="0"/>
          <w:sz w:val="32"/>
          <w:szCs w:val="32"/>
        </w:rPr>
        <w:t>无政府性基金预算财政拨款单位：</w:t>
      </w: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2019年无政府性基金预算财政拨款收支。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eastAsia="zh-CN"/>
        </w:rPr>
        <w:t>金凤区农发办</w:t>
      </w:r>
      <w:r>
        <w:rPr>
          <w:rFonts w:hint="eastAsia" w:ascii="黑体" w:hAnsi="宋体" w:eastAsia="黑体" w:cs="宋体"/>
          <w:b/>
          <w:bCs/>
          <w:kern w:val="0"/>
          <w:sz w:val="32"/>
          <w:szCs w:val="32"/>
        </w:rPr>
        <w:t>2019年收支预算情况的总体说明</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2019年收入总预算</w:t>
      </w:r>
      <w:r>
        <w:rPr>
          <w:rFonts w:hint="eastAsia" w:ascii="仿宋" w:hAnsi="仿宋" w:eastAsia="仿宋" w:cs="宋体"/>
          <w:kern w:val="0"/>
          <w:sz w:val="32"/>
          <w:szCs w:val="32"/>
          <w:lang w:val="en-US" w:eastAsia="zh-CN"/>
        </w:rPr>
        <w:t>86.23</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万元，上年结转结余</w:t>
      </w:r>
      <w:r>
        <w:rPr>
          <w:rFonts w:hint="eastAsia" w:ascii="仿宋" w:hAnsi="仿宋" w:eastAsia="仿宋" w:cs="宋体"/>
          <w:kern w:val="0"/>
          <w:sz w:val="32"/>
          <w:szCs w:val="32"/>
          <w:lang w:val="en-US" w:eastAsia="zh-CN"/>
        </w:rPr>
        <w:t>3.87</w:t>
      </w:r>
      <w:r>
        <w:rPr>
          <w:rFonts w:hint="eastAsia" w:ascii="仿宋" w:hAnsi="仿宋" w:eastAsia="仿宋" w:cs="宋体"/>
          <w:kern w:val="0"/>
          <w:sz w:val="32"/>
          <w:szCs w:val="32"/>
        </w:rPr>
        <w:t>万元；支出总预算</w:t>
      </w:r>
      <w:r>
        <w:rPr>
          <w:rFonts w:hint="eastAsia" w:ascii="仿宋" w:hAnsi="仿宋" w:eastAsia="仿宋" w:cs="宋体"/>
          <w:kern w:val="0"/>
          <w:sz w:val="32"/>
          <w:szCs w:val="32"/>
          <w:lang w:val="en-US" w:eastAsia="zh-CN"/>
        </w:rPr>
        <w:t>86.23</w:t>
      </w:r>
      <w:r>
        <w:rPr>
          <w:rFonts w:hint="eastAsia" w:ascii="仿宋" w:hAnsi="仿宋" w:eastAsia="仿宋" w:cs="宋体"/>
          <w:kern w:val="0"/>
          <w:sz w:val="32"/>
          <w:szCs w:val="32"/>
        </w:rPr>
        <w:t>万元，其中：本年支出</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万元，年末结转结余</w:t>
      </w:r>
      <w:r>
        <w:rPr>
          <w:rFonts w:hint="eastAsia" w:ascii="仿宋" w:hAnsi="仿宋" w:eastAsia="仿宋" w:cs="宋体"/>
          <w:kern w:val="0"/>
          <w:sz w:val="32"/>
          <w:szCs w:val="32"/>
          <w:lang w:val="en-US" w:eastAsia="zh-CN"/>
        </w:rPr>
        <w:t>3.87</w:t>
      </w:r>
      <w:r>
        <w:rPr>
          <w:rFonts w:hint="eastAsia" w:ascii="仿宋" w:hAnsi="仿宋" w:eastAsia="仿宋" w:cs="宋体"/>
          <w:kern w:val="0"/>
          <w:sz w:val="32"/>
          <w:szCs w:val="32"/>
        </w:rPr>
        <w:t>万元。</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本年收入包括：财政拨款预算收入</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 xml:space="preserve"> %；</w:t>
      </w:r>
    </w:p>
    <w:p>
      <w:pPr>
        <w:widowControl/>
        <w:spacing w:line="560" w:lineRule="exact"/>
        <w:ind w:left="178" w:leftChars="85" w:firstLine="361" w:firstLineChars="113"/>
        <w:jc w:val="left"/>
        <w:rPr>
          <w:rFonts w:ascii="仿宋" w:hAnsi="仿宋" w:eastAsia="仿宋" w:cs="宋体"/>
          <w:kern w:val="0"/>
          <w:sz w:val="32"/>
          <w:szCs w:val="32"/>
        </w:rPr>
      </w:pPr>
      <w:r>
        <w:rPr>
          <w:rFonts w:hint="eastAsia" w:ascii="仿宋" w:hAnsi="仿宋" w:eastAsia="仿宋" w:cs="宋体"/>
          <w:kern w:val="0"/>
          <w:sz w:val="32"/>
          <w:szCs w:val="32"/>
        </w:rPr>
        <w:t>本年支出包括：事业支出</w:t>
      </w:r>
      <w:r>
        <w:rPr>
          <w:rFonts w:hint="eastAsia" w:ascii="仿宋" w:hAnsi="仿宋" w:eastAsia="仿宋" w:cs="宋体"/>
          <w:kern w:val="0"/>
          <w:sz w:val="32"/>
          <w:szCs w:val="32"/>
          <w:lang w:val="en-US" w:eastAsia="zh-CN"/>
        </w:rPr>
        <w:t>82.36</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 xml:space="preserve"> %；</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 w:hAnsi="仿宋" w:eastAsia="仿宋" w:cs="宋体"/>
          <w:b/>
          <w:bCs/>
          <w:kern w:val="0"/>
          <w:sz w:val="32"/>
          <w:szCs w:val="32"/>
        </w:rPr>
      </w:pPr>
      <w:r>
        <w:rPr>
          <w:rFonts w:hint="eastAsia" w:ascii="仿宋" w:hAnsi="仿宋" w:eastAsia="仿宋" w:cs="宋体"/>
          <w:b/>
          <w:bCs/>
          <w:kern w:val="0"/>
          <w:sz w:val="32"/>
          <w:szCs w:val="32"/>
        </w:rPr>
        <w:t>（一）机关运行经费</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2019年，</w:t>
      </w: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 xml:space="preserve">本级事业单位的机关运行经费财政拨款预算 </w:t>
      </w:r>
      <w:r>
        <w:rPr>
          <w:rFonts w:hint="eastAsia" w:ascii="仿宋" w:hAnsi="仿宋" w:eastAsia="仿宋" w:cs="宋体"/>
          <w:kern w:val="0"/>
          <w:sz w:val="32"/>
          <w:szCs w:val="32"/>
          <w:lang w:val="en-US" w:eastAsia="zh-CN"/>
        </w:rPr>
        <w:t>5.4</w:t>
      </w:r>
      <w:r>
        <w:rPr>
          <w:rFonts w:hint="eastAsia" w:ascii="仿宋" w:hAnsi="仿宋" w:eastAsia="仿宋" w:cs="宋体"/>
          <w:kern w:val="0"/>
          <w:sz w:val="32"/>
          <w:szCs w:val="32"/>
        </w:rPr>
        <w:t>万元，比2018年预算</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5.8万元</w:t>
      </w:r>
      <w:r>
        <w:rPr>
          <w:rFonts w:hint="eastAsia" w:ascii="仿宋" w:hAnsi="仿宋" w:eastAsia="仿宋" w:cs="宋体"/>
          <w:kern w:val="0"/>
          <w:sz w:val="32"/>
          <w:szCs w:val="32"/>
          <w:lang w:eastAsia="zh-CN"/>
        </w:rPr>
        <w:t>）减少</w:t>
      </w:r>
      <w:r>
        <w:rPr>
          <w:rFonts w:hint="eastAsia" w:ascii="仿宋" w:hAnsi="仿宋" w:eastAsia="仿宋" w:cs="宋体"/>
          <w:kern w:val="0"/>
          <w:sz w:val="32"/>
          <w:szCs w:val="32"/>
          <w:lang w:val="en-US" w:eastAsia="zh-CN"/>
        </w:rPr>
        <w:t>0.4万元，减少了6.8%</w:t>
      </w:r>
    </w:p>
    <w:p>
      <w:pPr>
        <w:widowControl/>
        <w:spacing w:line="560" w:lineRule="exact"/>
        <w:ind w:firstLine="480"/>
        <w:jc w:val="left"/>
        <w:rPr>
          <w:rFonts w:hint="eastAsia" w:ascii="仿宋_GB2312" w:hAnsi="仿宋_GB2312" w:eastAsia="仿宋_GB2312" w:cs="仿宋_GB2312"/>
          <w:sz w:val="32"/>
          <w:szCs w:val="32"/>
        </w:rPr>
      </w:pPr>
      <w:r>
        <w:rPr>
          <w:rFonts w:hint="eastAsia" w:ascii="仿宋" w:hAnsi="仿宋" w:eastAsia="仿宋" w:cs="宋体"/>
          <w:kern w:val="0"/>
          <w:sz w:val="32"/>
          <w:szCs w:val="32"/>
          <w:lang w:val="en-US" w:eastAsia="zh-CN"/>
        </w:rPr>
        <w:t>2019年机关运行经费主要包括公用经费2.4</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和公务车运行维护费</w:t>
      </w:r>
      <w:r>
        <w:rPr>
          <w:rFonts w:hint="eastAsia" w:ascii="仿宋_GB2312" w:hAnsi="仿宋_GB2312" w:eastAsia="仿宋_GB2312" w:cs="仿宋_GB2312"/>
          <w:sz w:val="32"/>
          <w:szCs w:val="32"/>
          <w:lang w:val="en-US" w:eastAsia="zh-CN"/>
        </w:rPr>
        <w:t>3万元</w:t>
      </w:r>
    </w:p>
    <w:p>
      <w:pPr>
        <w:widowControl/>
        <w:spacing w:line="560" w:lineRule="exact"/>
        <w:ind w:firstLine="480"/>
        <w:jc w:val="left"/>
        <w:rPr>
          <w:rFonts w:hint="eastAsia" w:ascii="仿宋" w:hAnsi="仿宋" w:eastAsia="仿宋" w:cs="宋体"/>
          <w:bCs/>
          <w:kern w:val="0"/>
          <w:sz w:val="32"/>
          <w:szCs w:val="32"/>
          <w:lang w:eastAsia="zh-CN"/>
        </w:rPr>
      </w:pPr>
      <w:r>
        <w:rPr>
          <w:rFonts w:hint="eastAsia" w:ascii="仿宋_GB2312" w:hAnsi="仿宋_GB2312" w:eastAsia="仿宋_GB2312" w:cs="仿宋_GB2312"/>
          <w:kern w:val="0"/>
          <w:sz w:val="32"/>
          <w:szCs w:val="32"/>
          <w:lang w:val="en-US" w:eastAsia="zh-CN"/>
        </w:rPr>
        <w:t>公用经费</w:t>
      </w:r>
      <w:r>
        <w:rPr>
          <w:rFonts w:hint="eastAsia" w:ascii="仿宋" w:hAnsi="仿宋" w:eastAsia="仿宋" w:cs="宋体"/>
          <w:bCs/>
          <w:kern w:val="0"/>
          <w:sz w:val="32"/>
          <w:szCs w:val="32"/>
        </w:rPr>
        <w:t>包括办公及印刷费、邮电费、差旅费、会议费、福利费、</w:t>
      </w:r>
      <w:r>
        <w:rPr>
          <w:rFonts w:hint="eastAsia" w:ascii="仿宋" w:hAnsi="仿宋" w:eastAsia="仿宋" w:cs="宋体"/>
          <w:bCs/>
          <w:kern w:val="0"/>
          <w:sz w:val="32"/>
          <w:szCs w:val="32"/>
          <w:lang w:eastAsia="zh-CN"/>
        </w:rPr>
        <w:t>劳务费，和其他商品服务支出</w:t>
      </w:r>
    </w:p>
    <w:p>
      <w:pPr>
        <w:widowControl/>
        <w:spacing w:line="560" w:lineRule="exact"/>
        <w:ind w:firstLine="480"/>
        <w:jc w:val="left"/>
        <w:rPr>
          <w:rFonts w:ascii="仿宋" w:hAnsi="仿宋" w:eastAsia="仿宋" w:cs="宋体"/>
          <w:b/>
          <w:bCs/>
          <w:kern w:val="0"/>
          <w:sz w:val="32"/>
          <w:szCs w:val="32"/>
        </w:rPr>
      </w:pPr>
      <w:r>
        <w:rPr>
          <w:rFonts w:hint="eastAsia" w:ascii="仿宋" w:hAnsi="仿宋" w:eastAsia="仿宋" w:cs="宋体"/>
          <w:b/>
          <w:bCs/>
          <w:kern w:val="0"/>
          <w:sz w:val="32"/>
          <w:szCs w:val="32"/>
        </w:rPr>
        <w:t>（二）政府采购情况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2019年，</w:t>
      </w:r>
      <w:r>
        <w:rPr>
          <w:rFonts w:hint="eastAsia" w:ascii="仿宋" w:hAnsi="仿宋" w:eastAsia="仿宋" w:cs="宋体"/>
          <w:kern w:val="0"/>
          <w:sz w:val="32"/>
          <w:szCs w:val="32"/>
          <w:lang w:eastAsia="zh-CN"/>
        </w:rPr>
        <w:t>金凤区农发办无</w:t>
      </w:r>
      <w:r>
        <w:rPr>
          <w:rFonts w:hint="eastAsia" w:ascii="仿宋" w:hAnsi="仿宋" w:eastAsia="仿宋" w:cs="宋体"/>
          <w:kern w:val="0"/>
          <w:sz w:val="32"/>
          <w:szCs w:val="32"/>
        </w:rPr>
        <w:t>政府采购预算</w:t>
      </w:r>
      <w:r>
        <w:rPr>
          <w:rFonts w:hint="eastAsia" w:ascii="仿宋" w:hAnsi="仿宋" w:eastAsia="仿宋" w:cs="宋体"/>
          <w:kern w:val="0"/>
          <w:sz w:val="32"/>
          <w:szCs w:val="32"/>
          <w:lang w:eastAsia="zh-CN"/>
        </w:rPr>
        <w:t>。</w:t>
      </w:r>
    </w:p>
    <w:p>
      <w:pPr>
        <w:widowControl/>
        <w:numPr>
          <w:ilvl w:val="0"/>
          <w:numId w:val="1"/>
        </w:numPr>
        <w:spacing w:line="560" w:lineRule="exact"/>
        <w:ind w:firstLine="480" w:firstLineChars="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国有资产占用使用情况</w:t>
      </w:r>
    </w:p>
    <w:p>
      <w:pPr>
        <w:widowControl/>
        <w:numPr>
          <w:ilvl w:val="0"/>
          <w:numId w:val="0"/>
        </w:numPr>
        <w:spacing w:line="560" w:lineRule="exact"/>
        <w:jc w:val="left"/>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截至2018年12月31日，</w:t>
      </w:r>
      <w:r>
        <w:rPr>
          <w:rFonts w:hint="eastAsia" w:ascii="仿宋" w:hAnsi="仿宋" w:eastAsia="仿宋" w:cs="宋体"/>
          <w:kern w:val="0"/>
          <w:sz w:val="32"/>
          <w:szCs w:val="32"/>
          <w:lang w:eastAsia="zh-CN"/>
        </w:rPr>
        <w:t>金凤区农发办</w:t>
      </w:r>
      <w:r>
        <w:rPr>
          <w:rFonts w:hint="eastAsia" w:ascii="仿宋" w:hAnsi="仿宋" w:eastAsia="仿宋" w:cs="宋体"/>
          <w:kern w:val="0"/>
          <w:sz w:val="32"/>
          <w:szCs w:val="32"/>
        </w:rPr>
        <w:t>占用使用国有资产总体情况为车辆</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辆，价值</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17.09</w:t>
      </w:r>
      <w:r>
        <w:rPr>
          <w:rFonts w:hint="eastAsia" w:ascii="仿宋" w:hAnsi="仿宋" w:eastAsia="仿宋" w:cs="宋体"/>
          <w:kern w:val="0"/>
          <w:sz w:val="32"/>
          <w:szCs w:val="32"/>
        </w:rPr>
        <w:t xml:space="preserve"> 万元；国有资产分布情况为：</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车辆</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辆，价值</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17.09</w:t>
      </w:r>
      <w:r>
        <w:rPr>
          <w:rFonts w:hint="eastAsia" w:ascii="仿宋" w:hAnsi="仿宋" w:eastAsia="仿宋" w:cs="宋体"/>
          <w:kern w:val="0"/>
          <w:sz w:val="32"/>
          <w:szCs w:val="32"/>
        </w:rPr>
        <w:t xml:space="preserve"> 万元；</w:t>
      </w:r>
    </w:p>
    <w:p>
      <w:pPr>
        <w:widowControl/>
        <w:spacing w:line="560" w:lineRule="exact"/>
        <w:ind w:firstLine="480"/>
        <w:jc w:val="left"/>
        <w:rPr>
          <w:rFonts w:ascii="仿宋" w:hAnsi="仿宋" w:eastAsia="仿宋" w:cs="宋体"/>
          <w:b/>
          <w:bCs/>
          <w:kern w:val="0"/>
          <w:sz w:val="32"/>
          <w:szCs w:val="32"/>
        </w:rPr>
      </w:pPr>
      <w:r>
        <w:rPr>
          <w:rFonts w:hint="eastAsia" w:ascii="仿宋" w:hAnsi="仿宋" w:eastAsia="仿宋" w:cs="宋体"/>
          <w:b/>
          <w:bCs/>
          <w:kern w:val="0"/>
          <w:sz w:val="32"/>
          <w:szCs w:val="32"/>
        </w:rPr>
        <w:t>（四）预算绩效情况</w:t>
      </w:r>
    </w:p>
    <w:p>
      <w:pPr>
        <w:widowControl/>
        <w:numPr>
          <w:ilvl w:val="0"/>
          <w:numId w:val="0"/>
        </w:numPr>
        <w:spacing w:line="560" w:lineRule="exact"/>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 xml:space="preserve">     2019年预算基本支出对人员成本的控制符合规定要求，不断完善单位内部控制制度，相关制度能够有效的执行，“三公经费”严格控制在预算范围内。资金的支付符合预算批复的用途。</w:t>
      </w:r>
    </w:p>
    <w:p>
      <w:pPr>
        <w:widowControl/>
        <w:numPr>
          <w:ilvl w:val="0"/>
          <w:numId w:val="2"/>
        </w:numPr>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其他需说明的事项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CN"/>
        </w:rPr>
        <w:t>此项无说明</w:t>
      </w:r>
      <w:r>
        <w:rPr>
          <w:rFonts w:hint="eastAsia" w:ascii="仿宋" w:hAnsi="仿宋" w:eastAsia="仿宋" w:cs="宋体"/>
          <w:kern w:val="0"/>
          <w:sz w:val="32"/>
          <w:szCs w:val="32"/>
        </w:rPr>
        <w:t>……</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ind w:firstLine="480"/>
        <w:jc w:val="left"/>
        <w:rPr>
          <w:rFonts w:hint="eastAsia" w:ascii="仿宋" w:hAnsi="仿宋" w:eastAsia="仿宋" w:cs="宋体"/>
          <w:kern w:val="0"/>
          <w:sz w:val="32"/>
          <w:szCs w:val="32"/>
        </w:rPr>
      </w:pPr>
    </w:p>
    <w:p>
      <w:pPr>
        <w:widowControl/>
        <w:spacing w:line="560" w:lineRule="exact"/>
        <w:ind w:firstLine="480"/>
        <w:jc w:val="left"/>
        <w:rPr>
          <w:rFonts w:hint="eastAsia" w:ascii="仿宋" w:hAnsi="仿宋" w:eastAsia="仿宋" w:cs="宋体"/>
          <w:kern w:val="0"/>
          <w:sz w:val="32"/>
          <w:szCs w:val="32"/>
        </w:rPr>
      </w:pPr>
      <w:bookmarkStart w:id="0" w:name="_GoBack"/>
      <w:bookmarkEnd w:id="0"/>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lang w:eastAsia="zh-CN"/>
        </w:rPr>
        <w:t>金凤区农发办</w:t>
      </w:r>
      <w:r>
        <w:rPr>
          <w:rFonts w:hint="eastAsia" w:ascii="仿宋_GB2312" w:hAnsi="宋体" w:eastAsia="仿宋_GB2312"/>
          <w:b/>
          <w:bCs/>
          <w:kern w:val="0"/>
          <w:sz w:val="36"/>
          <w:szCs w:val="36"/>
        </w:rPr>
        <w:t>2019年部门预算——名词解释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：按照《2019年政府收支分类科目》“类”、“款”、“项”的编码和名称填列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hint="eastAsia" w:ascii="仿宋" w:hAnsi="仿宋" w:eastAsia="仿宋" w:cs="宋体"/>
          <w:bCs/>
          <w:kern w:val="0"/>
          <w:sz w:val="32"/>
          <w:szCs w:val="32"/>
          <w:lang w:eastAsia="zh-CN"/>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宋体"/>
          <w:bCs/>
          <w:kern w:val="0"/>
          <w:sz w:val="32"/>
          <w:szCs w:val="32"/>
          <w:lang w:eastAsia="zh-CN"/>
        </w:rPr>
        <w:t>。</w:t>
      </w:r>
    </w:p>
    <w:p>
      <w:pPr>
        <w:widowControl/>
        <w:spacing w:before="240" w:after="240"/>
        <w:ind w:firstLine="645"/>
        <w:jc w:val="left"/>
        <w:rPr>
          <w:rFonts w:ascii="仿宋" w:hAnsi="仿宋" w:eastAsia="仿宋"/>
          <w:b/>
          <w:kern w:val="0"/>
          <w:sz w:val="32"/>
          <w:szCs w:val="32"/>
        </w:rPr>
      </w:pPr>
      <w:r>
        <w:rPr>
          <w:rFonts w:hint="eastAsia" w:ascii="仿宋" w:hAnsi="仿宋" w:eastAsia="仿宋"/>
          <w:b/>
          <w:kern w:val="0"/>
          <w:sz w:val="32"/>
          <w:szCs w:val="32"/>
          <w:lang w:eastAsia="zh-CN"/>
        </w:rPr>
        <w:t>请</w:t>
      </w:r>
      <w:r>
        <w:rPr>
          <w:rFonts w:hint="eastAsia" w:ascii="仿宋" w:hAnsi="仿宋" w:eastAsia="仿宋"/>
          <w:b/>
          <w:kern w:val="0"/>
          <w:sz w:val="32"/>
          <w:szCs w:val="32"/>
        </w:rPr>
        <w:t>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仿宋">
    <w:altName w:val="仿宋_GB2312"/>
    <w:panose1 w:val="02010609060101010101"/>
    <w:charset w:val="86"/>
    <w:family w:val="roma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27</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9563399">
    <w:nsid w:val="58C8EF07"/>
    <w:multiLevelType w:val="singleLevel"/>
    <w:tmpl w:val="58C8EF07"/>
    <w:lvl w:ilvl="0" w:tentative="1">
      <w:start w:val="2"/>
      <w:numFmt w:val="chineseCounting"/>
      <w:suff w:val="nothing"/>
      <w:lvlText w:val="（%1）"/>
      <w:lvlJc w:val="left"/>
    </w:lvl>
  </w:abstractNum>
  <w:abstractNum w:abstractNumId="1547782749">
    <w:nsid w:val="5C414A5D"/>
    <w:multiLevelType w:val="singleLevel"/>
    <w:tmpl w:val="5C414A5D"/>
    <w:lvl w:ilvl="0" w:tentative="1">
      <w:start w:val="5"/>
      <w:numFmt w:val="chineseCounting"/>
      <w:suff w:val="nothing"/>
      <w:lvlText w:val="（%1）"/>
      <w:lvlJc w:val="left"/>
    </w:lvl>
  </w:abstractNum>
  <w:num w:numId="1">
    <w:abstractNumId w:val="1489563399"/>
  </w:num>
  <w:num w:numId="2">
    <w:abstractNumId w:val="15477827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A5F33"/>
    <w:rsid w:val="001A68AF"/>
    <w:rsid w:val="001B3655"/>
    <w:rsid w:val="001C1D11"/>
    <w:rsid w:val="001E2B95"/>
    <w:rsid w:val="0023640E"/>
    <w:rsid w:val="002C4BD6"/>
    <w:rsid w:val="002E78B6"/>
    <w:rsid w:val="002F53FA"/>
    <w:rsid w:val="00322E88"/>
    <w:rsid w:val="003379A6"/>
    <w:rsid w:val="0035076A"/>
    <w:rsid w:val="00375123"/>
    <w:rsid w:val="003A44E5"/>
    <w:rsid w:val="003B5F79"/>
    <w:rsid w:val="003F169E"/>
    <w:rsid w:val="00447276"/>
    <w:rsid w:val="004656F2"/>
    <w:rsid w:val="00483833"/>
    <w:rsid w:val="00484DD2"/>
    <w:rsid w:val="004858B2"/>
    <w:rsid w:val="004B2681"/>
    <w:rsid w:val="004E506D"/>
    <w:rsid w:val="00571B0D"/>
    <w:rsid w:val="00587DAF"/>
    <w:rsid w:val="005C3E29"/>
    <w:rsid w:val="005E33D6"/>
    <w:rsid w:val="005E4A5E"/>
    <w:rsid w:val="005E514F"/>
    <w:rsid w:val="006005FB"/>
    <w:rsid w:val="00616416"/>
    <w:rsid w:val="0062119E"/>
    <w:rsid w:val="00627DAC"/>
    <w:rsid w:val="0063712A"/>
    <w:rsid w:val="00683EA6"/>
    <w:rsid w:val="006C056F"/>
    <w:rsid w:val="006C5B18"/>
    <w:rsid w:val="006C5E08"/>
    <w:rsid w:val="00797C6A"/>
    <w:rsid w:val="007A2546"/>
    <w:rsid w:val="007E5001"/>
    <w:rsid w:val="00806D8F"/>
    <w:rsid w:val="00926C87"/>
    <w:rsid w:val="00955E13"/>
    <w:rsid w:val="0099119E"/>
    <w:rsid w:val="009C5522"/>
    <w:rsid w:val="009F1323"/>
    <w:rsid w:val="00A04D0E"/>
    <w:rsid w:val="00A16743"/>
    <w:rsid w:val="00A24808"/>
    <w:rsid w:val="00A27798"/>
    <w:rsid w:val="00A72DC8"/>
    <w:rsid w:val="00AB3815"/>
    <w:rsid w:val="00AC24ED"/>
    <w:rsid w:val="00AC560B"/>
    <w:rsid w:val="00AD7672"/>
    <w:rsid w:val="00AE341C"/>
    <w:rsid w:val="00B11F37"/>
    <w:rsid w:val="00B272E9"/>
    <w:rsid w:val="00B44F15"/>
    <w:rsid w:val="00B70EFD"/>
    <w:rsid w:val="00BF3EE9"/>
    <w:rsid w:val="00C05188"/>
    <w:rsid w:val="00C53A1E"/>
    <w:rsid w:val="00C54A32"/>
    <w:rsid w:val="00CA0B80"/>
    <w:rsid w:val="00CD5679"/>
    <w:rsid w:val="00CE7FCB"/>
    <w:rsid w:val="00D62C7C"/>
    <w:rsid w:val="00D66148"/>
    <w:rsid w:val="00D77DE1"/>
    <w:rsid w:val="00D953BC"/>
    <w:rsid w:val="00DA2209"/>
    <w:rsid w:val="00DA2C8F"/>
    <w:rsid w:val="00DB1945"/>
    <w:rsid w:val="00DD5905"/>
    <w:rsid w:val="00E0407D"/>
    <w:rsid w:val="00E64CF2"/>
    <w:rsid w:val="00E82D24"/>
    <w:rsid w:val="00EB04E5"/>
    <w:rsid w:val="00EB3277"/>
    <w:rsid w:val="00EC22F4"/>
    <w:rsid w:val="00ED10DD"/>
    <w:rsid w:val="00FB2A8B"/>
    <w:rsid w:val="04D5458C"/>
    <w:rsid w:val="0B7061D0"/>
    <w:rsid w:val="107C59BC"/>
    <w:rsid w:val="188373EB"/>
    <w:rsid w:val="1AAC660B"/>
    <w:rsid w:val="1C051596"/>
    <w:rsid w:val="25B84A72"/>
    <w:rsid w:val="2CE341B5"/>
    <w:rsid w:val="3E706080"/>
    <w:rsid w:val="413D7498"/>
    <w:rsid w:val="46A820EA"/>
    <w:rsid w:val="4E095EBE"/>
    <w:rsid w:val="5B913D4A"/>
    <w:rsid w:val="63EB60FE"/>
    <w:rsid w:val="63F7410E"/>
    <w:rsid w:val="66605452"/>
    <w:rsid w:val="69D20885"/>
    <w:rsid w:val="70153B18"/>
    <w:rsid w:val="71267CAF"/>
    <w:rsid w:val="755E3C3F"/>
    <w:rsid w:val="77D90A2D"/>
    <w:rsid w:val="7D87797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rFonts w:cs="Times New Roman"/>
      <w:b/>
      <w:bCs/>
    </w:rPr>
  </w:style>
  <w:style w:type="character" w:styleId="8">
    <w:name w:val="page number"/>
    <w:basedOn w:val="6"/>
    <w:qFormat/>
    <w:uiPriority w:val="0"/>
  </w:style>
  <w:style w:type="character" w:customStyle="1" w:styleId="10">
    <w:name w:val="页眉 Char"/>
    <w:basedOn w:val="6"/>
    <w:link w:val="4"/>
    <w:qFormat/>
    <w:uiPriority w:val="0"/>
    <w:rPr>
      <w:sz w:val="18"/>
      <w:szCs w:val="18"/>
    </w:rPr>
  </w:style>
  <w:style w:type="character" w:customStyle="1" w:styleId="11">
    <w:name w:val="页脚 Char"/>
    <w:basedOn w:val="6"/>
    <w:link w:val="3"/>
    <w:qFormat/>
    <w:uiPriority w:val="0"/>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6"/>
    <w:link w:val="2"/>
    <w:semiHidden/>
    <w:qFormat/>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6"/>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5324</Words>
  <Characters>6298</Characters>
  <Lines>78</Lines>
  <Paragraphs>22</Paragraphs>
  <TotalTime>0</TotalTime>
  <ScaleCrop>false</ScaleCrop>
  <LinksUpToDate>false</LinksUpToDate>
  <CharactersWithSpaces>7778</CharactersWithSpaces>
  <Application>WPS Office_10.1.0.5989_F1E327BC-269C-435d-A152-05C5408002CA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Administrator</cp:lastModifiedBy>
  <cp:lastPrinted>2018-01-19T06:09:00Z</cp:lastPrinted>
  <dcterms:modified xsi:type="dcterms:W3CDTF">2019-12-20T09:05:35Z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2052-10.1.0.5989</vt:lpwstr>
  </property>
</Properties>
</file>