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b/>
          <w:kern w:val="0"/>
          <w:sz w:val="44"/>
          <w:szCs w:val="44"/>
        </w:rPr>
      </w:pPr>
      <w:r>
        <w:rPr>
          <w:rFonts w:hint="eastAsia" w:ascii="宋体" w:hAnsi="宋体"/>
          <w:b/>
          <w:kern w:val="0"/>
          <w:sz w:val="44"/>
          <w:szCs w:val="44"/>
        </w:rPr>
        <w:t>目   录</w:t>
      </w:r>
    </w:p>
    <w:p>
      <w:pPr>
        <w:widowControl/>
        <w:jc w:val="center"/>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二、一般公共预算财政拨款支出预算表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三、一般公共预算财政拨款基本支出预算表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四、一般公共预算“三公”经费支出预算表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五、政府性基金预算财政拨款支出预算表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六、部门收支预算总表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七、部门收入预算表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八、部门支出预算表</w:t>
      </w: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2021年部门预算情况说明</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Lines="50"/>
        <w:ind w:firstLine="643" w:firstLineChars="200"/>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6"/>
          <w:szCs w:val="36"/>
        </w:rPr>
      </w:pPr>
    </w:p>
    <w:p>
      <w:pPr>
        <w:widowControl/>
        <w:jc w:val="center"/>
        <w:outlineLvl w:val="1"/>
        <w:rPr>
          <w:rFonts w:hint="eastAsia"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lang w:val="en-US" w:eastAsia="zh-CN"/>
        </w:rPr>
        <w:t>金凤区审批服务管理局</w:t>
      </w:r>
      <w:r>
        <w:rPr>
          <w:rFonts w:hint="eastAsia" w:asciiTheme="minorEastAsia" w:hAnsiTheme="minorEastAsia" w:eastAsiaTheme="minorEastAsia" w:cstheme="minorEastAsia"/>
          <w:b/>
          <w:kern w:val="0"/>
          <w:sz w:val="44"/>
          <w:szCs w:val="44"/>
        </w:rPr>
        <w:t>2021年部门预算</w:t>
      </w:r>
    </w:p>
    <w:p>
      <w:pPr>
        <w:widowControl/>
        <w:jc w:val="center"/>
        <w:outlineLvl w:val="1"/>
        <w:rPr>
          <w:rFonts w:ascii="宋体" w:hAnsi="宋体"/>
          <w:b/>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黑体" w:hAnsi="黑体" w:eastAsia="黑体" w:cs="宋体"/>
          <w:b/>
          <w:bCs/>
          <w:kern w:val="0"/>
          <w:sz w:val="32"/>
          <w:szCs w:val="32"/>
        </w:rPr>
      </w:pPr>
      <w:r>
        <w:rPr>
          <w:rFonts w:hint="eastAsia" w:ascii="黑体" w:hAnsi="黑体" w:eastAsia="黑体" w:cs="宋体"/>
          <w:b/>
          <w:bCs/>
          <w:kern w:val="0"/>
          <w:sz w:val="32"/>
          <w:szCs w:val="32"/>
        </w:rPr>
        <w:t>一、主要职能</w:t>
      </w:r>
    </w:p>
    <w:p>
      <w:pPr>
        <w:keepNext w:val="0"/>
        <w:keepLines w:val="0"/>
        <w:pageBreakBefore w:val="0"/>
        <w:widowControl/>
        <w:kinsoku/>
        <w:wordWrap/>
        <w:overflowPunct/>
        <w:topLinePunct w:val="0"/>
        <w:autoSpaceDE/>
        <w:autoSpaceDN/>
        <w:bidi w:val="0"/>
        <w:adjustRightInd/>
        <w:snapToGrid/>
        <w:spacing w:line="600" w:lineRule="exact"/>
        <w:ind w:firstLine="480"/>
        <w:jc w:val="left"/>
        <w:textAlignment w:val="auto"/>
        <w:rPr>
          <w:rFonts w:ascii="仿宋" w:hAnsi="仿宋" w:eastAsia="仿宋" w:cs="宋体"/>
          <w:bCs/>
          <w:kern w:val="0"/>
          <w:sz w:val="32"/>
          <w:szCs w:val="32"/>
        </w:rPr>
      </w:pPr>
      <w:r>
        <w:rPr>
          <w:rFonts w:hint="eastAsia" w:ascii="仿宋" w:hAnsi="仿宋" w:eastAsia="仿宋" w:cs="宋体"/>
          <w:bCs/>
          <w:kern w:val="0"/>
          <w:sz w:val="32"/>
          <w:szCs w:val="32"/>
        </w:rPr>
        <w:t xml:space="preserve"> </w:t>
      </w:r>
      <w:r>
        <w:rPr>
          <w:rFonts w:hint="eastAsia" w:ascii="仿宋" w:hAnsi="仿宋" w:eastAsia="仿宋" w:cs="仿宋"/>
          <w:b w:val="0"/>
          <w:bCs w:val="0"/>
          <w:kern w:val="2"/>
          <w:sz w:val="32"/>
          <w:szCs w:val="32"/>
          <w:lang w:val="en-US" w:eastAsia="zh-CN" w:bidi="ar"/>
        </w:rPr>
        <w:t>金凤区审批服务管理局的主要职责是:(一)贯彻执行国家、自治区和银川市有关行政管理体制行政审批制度改革方面的方针政策、法律法规，制定金风区审批服务管理局各项规章制度和管理办法，并组织实施。(二)落实相对集中许可权改革，做好划入的行政审批事项的审批、公共服务事项的办理。负责对行政审批及公共服务事项进行流程再造、环节优化、压缩时限，并对办理情况进行跟踪督办，协调解决事项办理中存在的各种问题。(三)建立准入制度，落实进驻金凤区审批服务管理局设置办事窗口的单位，确定进入窗口的具体审批项目和公共服务事项，建立审批和公共服务事项的操作规程，开展日常监督检查，并对审批行为承担相应的法律责任(四)负责对进入审批程序的项目进行实地核査，涉及专业性、技术性比较强的，协调专业技术人员和相关部门开展联合勘验工作。(五)对联审联办的审批事项进行协调，组织联合办理。(六)负责对进驻大厅的垂管部门及双重管理部门设置的窗口的政务服务工作的规范、管理、监督、检査和考核。协调解决进斤事项办理中存在的问题(七)对乡镇(街道)民生服务中心、村(社区)为民办事代办点的政务服务工作进行业务指导、日常监督和考核。(八)负责金凤区审批服务管理局工作人员的教育、培训管理和绩效考核。(九)落实行政审批网上协同办公，完善电子监察系统建设。(十)完成区委、政府和上级业务部门交办的其他工作任务。</w:t>
      </w:r>
    </w:p>
    <w:p>
      <w:pPr>
        <w:keepNext w:val="0"/>
        <w:keepLines w:val="0"/>
        <w:pageBreakBefore w:val="0"/>
        <w:widowControl/>
        <w:kinsoku/>
        <w:wordWrap/>
        <w:overflowPunct/>
        <w:topLinePunct w:val="0"/>
        <w:autoSpaceDE/>
        <w:autoSpaceDN/>
        <w:bidi w:val="0"/>
        <w:adjustRightInd/>
        <w:snapToGrid/>
        <w:spacing w:line="600" w:lineRule="exact"/>
        <w:ind w:firstLine="480"/>
        <w:jc w:val="left"/>
        <w:textAlignment w:val="auto"/>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600" w:lineRule="exact"/>
        <w:ind w:firstLine="480"/>
        <w:jc w:val="left"/>
        <w:textAlignment w:val="auto"/>
        <w:rPr>
          <w:rFonts w:ascii="仿宋" w:hAnsi="仿宋" w:eastAsia="仿宋" w:cs="宋体"/>
          <w:kern w:val="0"/>
          <w:sz w:val="32"/>
          <w:szCs w:val="32"/>
        </w:rPr>
      </w:pPr>
      <w:r>
        <w:rPr>
          <w:rFonts w:hint="eastAsia" w:ascii="仿宋" w:hAnsi="仿宋" w:eastAsia="仿宋" w:cs="宋体"/>
          <w:kern w:val="0"/>
          <w:sz w:val="32"/>
          <w:szCs w:val="32"/>
          <w:lang w:val="en-US" w:eastAsia="zh-CN"/>
        </w:rPr>
        <w:t>本单位为银川市金凤区审批服务管理局所属一级预算单位，单位性质为行政单位。</w:t>
      </w:r>
    </w:p>
    <w:p>
      <w:pPr>
        <w:keepNext w:val="0"/>
        <w:keepLines w:val="0"/>
        <w:pageBreakBefore w:val="0"/>
        <w:widowControl/>
        <w:kinsoku/>
        <w:wordWrap/>
        <w:overflowPunct/>
        <w:topLinePunct w:val="0"/>
        <w:autoSpaceDE/>
        <w:autoSpaceDN/>
        <w:bidi w:val="0"/>
        <w:adjustRightInd/>
        <w:snapToGrid/>
        <w:spacing w:line="600" w:lineRule="exact"/>
        <w:ind w:firstLine="480"/>
        <w:jc w:val="left"/>
        <w:textAlignment w:val="auto"/>
        <w:rPr>
          <w:rFonts w:ascii="仿宋" w:hAnsi="仿宋" w:eastAsia="仿宋"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
    <w:p/>
    <w:p/>
    <w:p/>
    <w:p/>
    <w:p/>
    <w:p/>
    <w:p/>
    <w:p/>
    <w:p/>
    <w:p>
      <w:pPr>
        <w:sectPr>
          <w:pgSz w:w="11906" w:h="16838"/>
          <w:pgMar w:top="1440" w:right="1800" w:bottom="1440" w:left="1800" w:header="851" w:footer="992" w:gutter="0"/>
          <w:cols w:space="720" w:num="1"/>
          <w:docGrid w:type="lines" w:linePitch="312" w:charSpace="0"/>
        </w:sectPr>
      </w:pPr>
    </w:p>
    <w:p>
      <w:pPr>
        <w:widowControl/>
        <w:jc w:val="left"/>
        <w:outlineLvl w:val="1"/>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lang w:val="en-US" w:eastAsia="zh-CN"/>
        </w:rPr>
        <w:t>审批服务管理局</w:t>
      </w:r>
      <w:r>
        <w:rPr>
          <w:rFonts w:hint="eastAsia" w:asciiTheme="minorEastAsia" w:hAnsiTheme="minorEastAsia" w:eastAsiaTheme="minorEastAsia" w:cstheme="minorEastAsia"/>
          <w:b w:val="0"/>
          <w:bCs/>
          <w:kern w:val="0"/>
          <w:sz w:val="36"/>
          <w:szCs w:val="36"/>
        </w:rPr>
        <w:t>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7"/>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606.3</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606.3</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606.3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606.3</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569.35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569.35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32.8</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eastAsia="zh-CN"/>
              </w:rPr>
              <w:t>：</w:t>
            </w:r>
            <w:r>
              <w:rPr>
                <w:rFonts w:hint="eastAsia" w:ascii="宋体" w:hAnsi="宋体" w:cs="Arial"/>
                <w:b/>
                <w:bCs/>
                <w:color w:val="000000"/>
                <w:kern w:val="0"/>
                <w:sz w:val="22"/>
                <w:szCs w:val="22"/>
                <w:lang w:val="en-US" w:eastAsia="zh-CN"/>
              </w:rPr>
              <w:t>606.3</w:t>
            </w:r>
          </w:p>
        </w:tc>
      </w:tr>
    </w:tbl>
    <w:p/>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7"/>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600"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46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2010301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行政运行</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19</w:t>
            </w:r>
            <w:r>
              <w:rPr>
                <w:rFonts w:hint="eastAsia" w:ascii="宋体" w:hAnsi="宋体" w:cs="宋体"/>
                <w:kern w:val="0"/>
                <w:sz w:val="20"/>
                <w:szCs w:val="20"/>
                <w:lang w:val="en-US" w:eastAsia="zh-CN"/>
              </w:rPr>
              <w:t>.1</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15.9</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减3.2</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减16%</w:t>
            </w:r>
          </w:p>
        </w:tc>
      </w:tr>
      <w:tr>
        <w:tblPrEx>
          <w:tblCellMar>
            <w:top w:w="0" w:type="dxa"/>
            <w:left w:w="108" w:type="dxa"/>
            <w:bottom w:w="0" w:type="dxa"/>
            <w:right w:w="108" w:type="dxa"/>
          </w:tblCellMar>
        </w:tblPrEx>
        <w:trPr>
          <w:trHeight w:val="30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2080501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行政单位离退休</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1.09</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0</w:t>
            </w:r>
          </w:p>
        </w:tc>
        <w:tc>
          <w:tcPr>
            <w:tcW w:w="18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减1.09</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减100%</w:t>
            </w:r>
          </w:p>
        </w:tc>
      </w:tr>
      <w:tr>
        <w:tblPrEx>
          <w:tblCellMar>
            <w:top w:w="0" w:type="dxa"/>
            <w:left w:w="108" w:type="dxa"/>
            <w:bottom w:w="0" w:type="dxa"/>
            <w:right w:w="108" w:type="dxa"/>
          </w:tblCellMar>
        </w:tblPrEx>
        <w:trPr>
          <w:trHeight w:val="519"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2080505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机关事业单位基本养老保险缴费支出</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14.02</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15.98</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lang w:val="en-US"/>
              </w:rPr>
            </w:pPr>
            <w:r>
              <w:rPr>
                <w:rFonts w:hint="eastAsia" w:ascii="宋体" w:hAnsi="宋体" w:cs="宋体"/>
                <w:kern w:val="0"/>
                <w:sz w:val="20"/>
                <w:szCs w:val="20"/>
                <w:lang w:val="en-US" w:eastAsia="zh-CN"/>
              </w:rPr>
              <w:t>15.98</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增15.98</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增12%</w:t>
            </w: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2080506</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机关事业单位职业年金缴费支出</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6.2</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4.99</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4.99</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减1.21</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减19%</w:t>
            </w:r>
          </w:p>
        </w:tc>
      </w:tr>
      <w:tr>
        <w:tblPrEx>
          <w:tblCellMar>
            <w:top w:w="0" w:type="dxa"/>
            <w:left w:w="108" w:type="dxa"/>
            <w:bottom w:w="0" w:type="dxa"/>
            <w:right w:w="108" w:type="dxa"/>
          </w:tblCellMar>
        </w:tblPrEx>
        <w:trPr>
          <w:trHeight w:val="419"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2101101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行政单位医疗</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7.02</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8.53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8.53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增1.51</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增17%</w:t>
            </w:r>
          </w:p>
        </w:tc>
      </w:tr>
      <w:tr>
        <w:tblPrEx>
          <w:tblCellMar>
            <w:top w:w="0" w:type="dxa"/>
            <w:left w:w="108" w:type="dxa"/>
            <w:bottom w:w="0" w:type="dxa"/>
            <w:right w:w="108" w:type="dxa"/>
          </w:tblCellMar>
        </w:tblPrEx>
        <w:trPr>
          <w:trHeight w:val="368"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2101103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公务员医疗补助</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3.5</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增0.6</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增15%</w:t>
            </w:r>
          </w:p>
        </w:tc>
      </w:tr>
      <w:tr>
        <w:tblPrEx>
          <w:tblCellMar>
            <w:top w:w="0" w:type="dxa"/>
            <w:left w:w="108" w:type="dxa"/>
            <w:bottom w:w="0" w:type="dxa"/>
            <w:right w:w="108" w:type="dxa"/>
          </w:tblCellMar>
        </w:tblPrEx>
        <w:trPr>
          <w:trHeight w:val="508"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2210201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住房公积金</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11.62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11.62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增5.22</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增45%</w:t>
            </w:r>
          </w:p>
        </w:tc>
      </w:tr>
      <w:tr>
        <w:tblPrEx>
          <w:tblCellMar>
            <w:top w:w="0" w:type="dxa"/>
            <w:left w:w="108" w:type="dxa"/>
            <w:bottom w:w="0" w:type="dxa"/>
            <w:right w:w="108" w:type="dxa"/>
          </w:tblCellMar>
        </w:tblPrEx>
        <w:trPr>
          <w:trHeight w:val="343"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2210203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购房补贴</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减1.6</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2010302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一般行政管理事务</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2.34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371.2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371.2</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增368.86</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增99%</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2010399</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Theme="minorEastAsia" w:hAnsiTheme="minorEastAsia" w:eastAsiaTheme="minorEastAsia" w:cstheme="minorEastAsia"/>
                <w:color w:val="000000"/>
                <w:kern w:val="0"/>
                <w:sz w:val="21"/>
                <w:szCs w:val="21"/>
                <w:lang w:val="en-US" w:eastAsia="zh-CN"/>
              </w:rPr>
              <w:t>其他政府办公及机关机构事务支出</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320.25</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减316.25</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减98%</w:t>
            </w: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7"/>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215.28</w:t>
            </w:r>
          </w:p>
        </w:tc>
        <w:tc>
          <w:tcPr>
            <w:tcW w:w="270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215.28</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178.18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178.18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34.32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34.32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25.2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25.2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39.21</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39.21</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jc w:val="center"/>
              <w:rPr>
                <w:rFonts w:ascii="宋体" w:hAnsi="宋体" w:eastAsia="宋体" w:cs="宋体"/>
                <w:kern w:val="2"/>
                <w:sz w:val="22"/>
                <w:szCs w:val="22"/>
                <w:lang w:val="en-US" w:eastAsia="zh-CN" w:bidi="ar-SA"/>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15.32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15.32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4.99</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4.99</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8.53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8.53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3.74</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3.74</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0.65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0.65</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pStyle w:val="2"/>
              <w:ind w:left="0" w:leftChars="0" w:right="0" w:rightChars="0" w:firstLine="0" w:firstLineChars="0"/>
              <w:jc w:val="center"/>
              <w:rPr>
                <w:rFonts w:hint="default" w:ascii="Calibri" w:hAnsi="Calibri" w:eastAsia="宋体" w:cs="Times New Roman"/>
                <w:kern w:val="2"/>
                <w:sz w:val="21"/>
                <w:szCs w:val="21"/>
                <w:lang w:val="en-US" w:eastAsia="zh-CN" w:bidi="ar"/>
              </w:rPr>
            </w:pPr>
            <w:r>
              <w:rPr>
                <w:rFonts w:hint="eastAsia"/>
                <w:lang w:val="en-US" w:eastAsia="zh-CN"/>
              </w:rPr>
              <w:t>4.14</w:t>
            </w:r>
          </w:p>
        </w:tc>
        <w:tc>
          <w:tcPr>
            <w:tcW w:w="2700" w:type="dxa"/>
            <w:tcBorders>
              <w:top w:val="nil"/>
              <w:left w:val="nil"/>
              <w:bottom w:val="single" w:color="auto" w:sz="4" w:space="0"/>
              <w:right w:val="single" w:color="auto" w:sz="4" w:space="0"/>
            </w:tcBorders>
            <w:vAlign w:val="center"/>
          </w:tcPr>
          <w:p>
            <w:pPr>
              <w:pStyle w:val="2"/>
              <w:ind w:left="0" w:leftChars="0" w:firstLine="0" w:firstLineChars="0"/>
              <w:jc w:val="center"/>
              <w:rPr>
                <w:rFonts w:hint="default"/>
                <w:lang w:val="en-US" w:eastAsia="zh-CN"/>
              </w:rPr>
            </w:pPr>
            <w:r>
              <w:rPr>
                <w:rFonts w:hint="eastAsia"/>
                <w:lang w:val="en-US" w:eastAsia="zh-CN"/>
              </w:rPr>
              <w:t>4.14</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jc w:val="center"/>
              <w:rPr>
                <w:rFonts w:ascii="宋体" w:hAnsi="宋体" w:eastAsia="宋体" w:cs="宋体"/>
                <w:kern w:val="2"/>
                <w:sz w:val="22"/>
                <w:szCs w:val="22"/>
                <w:lang w:val="en-US" w:eastAsia="zh-CN" w:bidi="ar-SA"/>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71.28</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71.28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15.88</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15.88</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3.0</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3.0</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1.09</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1.09</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7.23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7.23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2.24</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2.24</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3.56</w:t>
            </w:r>
          </w:p>
        </w:tc>
        <w:tc>
          <w:tcPr>
            <w:tcW w:w="2700" w:type="dxa"/>
            <w:tcBorders>
              <w:top w:val="nil"/>
              <w:left w:val="nil"/>
              <w:bottom w:val="single" w:color="auto" w:sz="4" w:space="0"/>
              <w:right w:val="single" w:color="auto" w:sz="4" w:space="0"/>
            </w:tcBorders>
            <w:vAlign w:val="center"/>
          </w:tcPr>
          <w:p>
            <w:pPr>
              <w:rPr>
                <w:rFonts w:hint="default" w:ascii="宋体" w:hAnsi="宋体" w:eastAsia="宋体" w:cs="宋体"/>
                <w:sz w:val="22"/>
                <w:szCs w:val="22"/>
                <w:lang w:val="en-US" w:eastAsia="zh-CN"/>
              </w:rPr>
            </w:pPr>
            <w:r>
              <w:rPr>
                <w:rFonts w:hint="eastAsia" w:ascii="宋体" w:hAnsi="宋体" w:cs="宋体"/>
                <w:sz w:val="22"/>
                <w:szCs w:val="22"/>
                <w:lang w:val="en-US" w:eastAsia="zh-CN"/>
              </w:rPr>
              <w:t>3.56</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 “三公”经费支出预算表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7"/>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五、政府性基金预算财政拨款支出预算表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7"/>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7"/>
        <w:tblW w:w="0" w:type="auto"/>
        <w:tblInd w:w="93" w:type="dxa"/>
        <w:tblLayout w:type="fixed"/>
        <w:tblCellMar>
          <w:top w:w="15" w:type="dxa"/>
          <w:left w:w="108" w:type="dxa"/>
          <w:bottom w:w="15" w:type="dxa"/>
          <w:right w:w="108" w:type="dxa"/>
        </w:tblCellMar>
      </w:tblPr>
      <w:tblGrid>
        <w:gridCol w:w="5235"/>
        <w:gridCol w:w="1800"/>
        <w:gridCol w:w="5022"/>
        <w:gridCol w:w="1800"/>
      </w:tblGrid>
      <w:tr>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pStyle w:val="2"/>
        <w:rPr>
          <w:rFonts w:ascii="仿宋_GB2312" w:hAnsi="宋体" w:eastAsia="仿宋_GB2312"/>
          <w:kern w:val="0"/>
          <w:sz w:val="32"/>
          <w:szCs w:val="32"/>
        </w:rPr>
      </w:pPr>
    </w:p>
    <w:p>
      <w:pPr>
        <w:pStyle w:val="2"/>
        <w:rPr>
          <w:rFonts w:ascii="仿宋_GB2312" w:hAnsi="宋体" w:eastAsia="仿宋_GB2312"/>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7"/>
        <w:tblW w:w="0" w:type="auto"/>
        <w:tblInd w:w="93" w:type="dxa"/>
        <w:tblLayout w:type="fixed"/>
        <w:tblCellMar>
          <w:top w:w="15" w:type="dxa"/>
          <w:left w:w="108" w:type="dxa"/>
          <w:bottom w:w="15" w:type="dxa"/>
          <w:right w:w="108" w:type="dxa"/>
        </w:tblCellMar>
      </w:tblPr>
      <w:tblGrid>
        <w:gridCol w:w="1144"/>
        <w:gridCol w:w="970"/>
        <w:gridCol w:w="950"/>
        <w:gridCol w:w="728"/>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1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64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1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9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1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1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9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95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606.36</w:t>
            </w:r>
          </w:p>
        </w:tc>
        <w:tc>
          <w:tcPr>
            <w:tcW w:w="72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14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7"/>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2010301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2080501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2080505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15.98</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15.98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4.99</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4.99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8.53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8.53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4.1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11.62</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11.62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2210203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2010302</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371.2</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371.2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2010399</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center"/>
        <w:outlineLvl w:val="1"/>
        <w:rPr>
          <w:rFonts w:hint="eastAsia" w:asciiTheme="minorEastAsia" w:hAnsiTheme="minorEastAsia" w:eastAsiaTheme="minorEastAsia" w:cstheme="minorEastAsia"/>
          <w:b/>
          <w:bCs/>
          <w:kern w:val="0"/>
          <w:sz w:val="44"/>
          <w:szCs w:val="44"/>
        </w:rPr>
      </w:pPr>
      <w:r>
        <w:rPr>
          <w:rFonts w:hint="eastAsia" w:asciiTheme="minorEastAsia" w:hAnsiTheme="minorEastAsia" w:eastAsiaTheme="minorEastAsia" w:cstheme="minorEastAsia"/>
          <w:b/>
          <w:bCs/>
          <w:kern w:val="0"/>
          <w:sz w:val="44"/>
          <w:szCs w:val="44"/>
          <w:lang w:val="en-US" w:eastAsia="zh-CN"/>
        </w:rPr>
        <w:t>审批服务管理局</w:t>
      </w:r>
      <w:r>
        <w:rPr>
          <w:rFonts w:hint="eastAsia" w:asciiTheme="minorEastAsia" w:hAnsiTheme="minorEastAsia" w:eastAsiaTheme="minorEastAsia" w:cstheme="minorEastAsia"/>
          <w:b/>
          <w:bCs/>
          <w:kern w:val="0"/>
          <w:sz w:val="44"/>
          <w:szCs w:val="44"/>
        </w:rPr>
        <w:t>2021年部门预算</w:t>
      </w:r>
    </w:p>
    <w:p>
      <w:pPr>
        <w:widowControl/>
        <w:ind w:firstLine="3975" w:firstLineChars="900"/>
        <w:jc w:val="both"/>
        <w:outlineLvl w:val="1"/>
        <w:rPr>
          <w:rFonts w:hint="eastAsia" w:asciiTheme="minorEastAsia" w:hAnsiTheme="minorEastAsia" w:eastAsiaTheme="minorEastAsia" w:cstheme="minorEastAsia"/>
          <w:b/>
          <w:bCs/>
          <w:kern w:val="0"/>
          <w:sz w:val="44"/>
          <w:szCs w:val="44"/>
        </w:rPr>
      </w:pPr>
      <w:r>
        <w:rPr>
          <w:rFonts w:hint="eastAsia" w:asciiTheme="minorEastAsia" w:hAnsiTheme="minorEastAsia" w:eastAsiaTheme="minorEastAsia" w:cstheme="minorEastAsia"/>
          <w:b/>
          <w:bCs/>
          <w:kern w:val="0"/>
          <w:sz w:val="44"/>
          <w:szCs w:val="44"/>
        </w:rPr>
        <w:t>—部门预算情况说明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val="en-US" w:eastAsia="zh-CN"/>
        </w:rPr>
        <w:t>审批服务管理局</w:t>
      </w:r>
      <w:r>
        <w:rPr>
          <w:rFonts w:hint="eastAsia" w:ascii="黑体" w:eastAsia="黑体" w:cs="宋体"/>
          <w:b/>
          <w:bCs/>
          <w:kern w:val="0"/>
          <w:sz w:val="32"/>
          <w:szCs w:val="32"/>
        </w:rPr>
        <w:t>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2021年财政拨款收入预算</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万元，包括：按政府收支分类功能科目逐项说明。如，一般公共服务支出</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万元、社会保障和就业支出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万元、住房保障支出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val="en-US" w:eastAsia="zh-CN"/>
        </w:rPr>
        <w:t>审批服务管理局</w:t>
      </w:r>
      <w:r>
        <w:rPr>
          <w:rFonts w:hint="eastAsia" w:ascii="黑体" w:hAnsi="宋体" w:eastAsia="黑体" w:cs="宋体"/>
          <w:b/>
          <w:bCs/>
          <w:kern w:val="0"/>
          <w:sz w:val="32"/>
          <w:szCs w:val="32"/>
        </w:rPr>
        <w:t>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2021年一般公共预算财政拨款基本支出    万元，其中：本年收入安排支出</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万元，上年结转资金安排支出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万元。比上年执行数决算数增加</w:t>
      </w:r>
      <w:r>
        <w:rPr>
          <w:rFonts w:hint="eastAsia" w:ascii="仿宋_GB2312" w:hAnsi="宋体" w:eastAsia="仿宋_GB2312" w:cs="宋体"/>
          <w:kern w:val="0"/>
          <w:sz w:val="32"/>
          <w:szCs w:val="32"/>
          <w:lang w:val="en-US" w:eastAsia="zh-CN"/>
        </w:rPr>
        <w:t>17.5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215.28</w:t>
      </w:r>
      <w:r>
        <w:rPr>
          <w:rFonts w:hint="eastAsia" w:ascii="仿宋_GB2312" w:hAnsi="宋体" w:eastAsia="仿宋_GB2312" w:cs="宋体"/>
          <w:kern w:val="0"/>
          <w:sz w:val="32"/>
          <w:szCs w:val="32"/>
        </w:rPr>
        <w:t>万元，主要包括</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基本工资</w:t>
      </w:r>
      <w:r>
        <w:rPr>
          <w:rFonts w:hint="eastAsia" w:ascii="仿宋_GB2312" w:hAnsi="宋体" w:eastAsia="仿宋_GB2312" w:cs="宋体"/>
          <w:kern w:val="0"/>
          <w:sz w:val="32"/>
          <w:szCs w:val="32"/>
          <w:lang w:val="en-US" w:eastAsia="zh-CN"/>
        </w:rPr>
        <w:t>34.32</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25.20</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39.21</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0.65</w:t>
      </w:r>
      <w:r>
        <w:rPr>
          <w:rFonts w:hint="eastAsia" w:ascii="仿宋_GB2312" w:hAnsi="宋体" w:eastAsia="仿宋_GB2312" w:cs="宋体"/>
          <w:kern w:val="0"/>
          <w:sz w:val="32"/>
          <w:szCs w:val="32"/>
        </w:rPr>
        <w:t>、伙食补助费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、绩效工资</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、其他工资福利支出</w:t>
      </w:r>
      <w:r>
        <w:rPr>
          <w:rFonts w:hint="eastAsia" w:ascii="仿宋_GB2312" w:hAnsi="宋体" w:eastAsia="仿宋_GB2312" w:cs="宋体"/>
          <w:kern w:val="0"/>
          <w:sz w:val="32"/>
          <w:szCs w:val="32"/>
          <w:lang w:val="en-US" w:eastAsia="zh-CN"/>
        </w:rPr>
        <w:t>71.28</w:t>
      </w:r>
      <w:r>
        <w:rPr>
          <w:rFonts w:hint="eastAsia" w:ascii="仿宋_GB2312" w:hAnsi="宋体" w:eastAsia="仿宋_GB2312" w:cs="宋体"/>
          <w:kern w:val="0"/>
          <w:sz w:val="32"/>
          <w:szCs w:val="32"/>
        </w:rPr>
        <w:t>、离休费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、抚恤金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、助学金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11.63</w:t>
      </w:r>
      <w:r>
        <w:rPr>
          <w:rFonts w:hint="eastAsia" w:ascii="仿宋_GB2312" w:hAnsi="宋体" w:eastAsia="仿宋_GB2312" w:cs="宋体"/>
          <w:kern w:val="0"/>
          <w:sz w:val="32"/>
          <w:szCs w:val="32"/>
        </w:rPr>
        <w:t>、提租补贴</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、购房补贴</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val="en-US" w:eastAsia="zh-CN"/>
        </w:rPr>
        <w:t>0.35</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15.88</w:t>
      </w:r>
      <w:r>
        <w:rPr>
          <w:rFonts w:hint="eastAsia" w:ascii="仿宋_GB2312" w:hAnsi="宋体" w:eastAsia="仿宋_GB2312" w:cs="宋体"/>
          <w:kern w:val="0"/>
          <w:sz w:val="32"/>
          <w:szCs w:val="32"/>
        </w:rPr>
        <w:t>万元，主要包括：办公费</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、咨询费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、水费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、物业管理费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、租赁费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、会议费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、培训费</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、劳务费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、委托业务费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1.09</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val="en-US" w:eastAsia="zh-CN"/>
        </w:rPr>
        <w:t>7.23</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2.24</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、专用设备购置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2021年一般公共预算财政拨款项目支出    万元，其中：本年收入安排支出</w:t>
      </w:r>
      <w:r>
        <w:rPr>
          <w:rFonts w:hint="eastAsia" w:ascii="仿宋_GB2312" w:hAnsi="宋体" w:eastAsia="仿宋_GB2312" w:cs="宋体"/>
          <w:kern w:val="0"/>
          <w:sz w:val="32"/>
          <w:szCs w:val="32"/>
          <w:lang w:val="en-US" w:eastAsia="zh-CN"/>
        </w:rPr>
        <w:t>371.2</w:t>
      </w:r>
      <w:r>
        <w:rPr>
          <w:rFonts w:hint="eastAsia" w:ascii="仿宋_GB2312" w:hAnsi="宋体" w:eastAsia="仿宋_GB2312" w:cs="宋体"/>
          <w:kern w:val="0"/>
          <w:sz w:val="32"/>
          <w:szCs w:val="32"/>
        </w:rPr>
        <w:t>万元，上年结转结余资金安排支出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万元。包括：按政府收支科目类、款、项，用途分项说明。如，</w:t>
      </w:r>
      <w:r>
        <w:rPr>
          <w:rFonts w:hint="eastAsia" w:ascii="仿宋_GB2312" w:eastAsia="仿宋_GB2312"/>
          <w:kern w:val="0"/>
          <w:sz w:val="32"/>
          <w:szCs w:val="32"/>
        </w:rPr>
        <w:t>一般公共服务（类）财政事务（款）行政运行（项）2021年预算</w:t>
      </w:r>
      <w:r>
        <w:rPr>
          <w:rFonts w:hint="eastAsia" w:ascii="仿宋_GB2312" w:eastAsia="仿宋_GB2312"/>
          <w:kern w:val="0"/>
          <w:sz w:val="32"/>
          <w:szCs w:val="32"/>
          <w:lang w:val="en-US" w:eastAsia="zh-CN"/>
        </w:rPr>
        <w:t>371.2</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w:t>
      </w:r>
      <w:r>
        <w:rPr>
          <w:rFonts w:hint="eastAsia" w:ascii="仿宋_GB2312" w:hAnsi="宋体" w:eastAsia="仿宋_GB2312" w:cs="宋体"/>
          <w:kern w:val="0"/>
          <w:sz w:val="32"/>
          <w:szCs w:val="32"/>
          <w:lang w:val="en-US" w:eastAsia="zh-CN"/>
        </w:rPr>
        <w:t>13.66</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 xml:space="preserve"> %。主要用于</w:t>
      </w:r>
      <w:r>
        <w:rPr>
          <w:rFonts w:hint="eastAsia" w:ascii="仿宋_GB2312" w:hAnsi="宋体" w:eastAsia="仿宋_GB2312" w:cs="宋体"/>
          <w:kern w:val="0"/>
          <w:sz w:val="32"/>
          <w:szCs w:val="32"/>
          <w:lang w:val="en-US" w:eastAsia="zh-CN"/>
        </w:rPr>
        <w:t>政府投资项目咨询费</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val="en-US" w:eastAsia="zh-CN"/>
        </w:rPr>
        <w:t>审批服务管理局</w:t>
      </w:r>
      <w:r>
        <w:rPr>
          <w:rFonts w:hint="eastAsia" w:ascii="黑体" w:hAnsi="宋体" w:eastAsia="黑体" w:cs="宋体"/>
          <w:b/>
          <w:bCs/>
          <w:kern w:val="0"/>
          <w:sz w:val="32"/>
          <w:szCs w:val="32"/>
        </w:rPr>
        <w:t>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2021年“三公”经费财政拨款预算数为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val="en-US" w:eastAsia="zh-CN"/>
        </w:rPr>
        <w:t>审批服务管理局</w:t>
      </w:r>
      <w:r>
        <w:rPr>
          <w:rFonts w:hint="eastAsia" w:ascii="黑体" w:hAnsi="宋体" w:eastAsia="黑体" w:cs="宋体"/>
          <w:b/>
          <w:bCs/>
          <w:kern w:val="0"/>
          <w:sz w:val="32"/>
          <w:szCs w:val="32"/>
        </w:rPr>
        <w:t>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val="en-US" w:eastAsia="zh-CN"/>
        </w:rPr>
        <w:t>审批服务管理局</w:t>
      </w:r>
      <w:r>
        <w:rPr>
          <w:rFonts w:hint="eastAsia" w:ascii="黑体" w:hAnsi="宋体" w:eastAsia="黑体" w:cs="宋体"/>
          <w:b/>
          <w:bCs/>
          <w:kern w:val="0"/>
          <w:sz w:val="32"/>
          <w:szCs w:val="32"/>
        </w:rPr>
        <w:t>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2021年收入总预算</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万元，年末结转结余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%；上级补助预算收入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%；附属单位上缴预算收入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%；非同级财政拨款预算收入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本年支出包括：行政支出 </w:t>
      </w:r>
      <w:r>
        <w:rPr>
          <w:rFonts w:hint="eastAsia" w:ascii="仿宋_GB2312" w:hAnsi="宋体" w:eastAsia="仿宋_GB2312" w:cs="宋体"/>
          <w:kern w:val="0"/>
          <w:sz w:val="32"/>
          <w:szCs w:val="32"/>
          <w:lang w:val="en-US" w:eastAsia="zh-CN"/>
        </w:rPr>
        <w:t>606.36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%；事业支出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%；上缴上级支出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%；投资支出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本级及所属</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个行政单位和</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 xml:space="preserve">个参公管理事业单位的机关运行经费财政拨款预算 </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万元，比2020年预算减少</w:t>
      </w:r>
      <w:r>
        <w:rPr>
          <w:rFonts w:hint="eastAsia" w:ascii="仿宋_GB2312" w:hAnsi="宋体" w:eastAsia="仿宋_GB2312" w:cs="宋体"/>
          <w:kern w:val="0"/>
          <w:sz w:val="32"/>
          <w:szCs w:val="32"/>
          <w:lang w:val="en-US" w:eastAsia="zh-CN"/>
        </w:rPr>
        <w:t>1.3</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 xml:space="preserve"> %。主要原因是：</w:t>
      </w:r>
      <w:r>
        <w:rPr>
          <w:rFonts w:hint="eastAsia" w:ascii="仿宋_GB2312" w:hAnsi="宋体" w:eastAsia="仿宋_GB2312" w:cs="宋体"/>
          <w:kern w:val="0"/>
          <w:sz w:val="32"/>
          <w:szCs w:val="32"/>
          <w:lang w:val="en-US" w:eastAsia="zh-CN"/>
        </w:rPr>
        <w:t>借调人员2021年机关运行费未拨付至我单位。</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val="en-US" w:eastAsia="zh-CN"/>
        </w:rPr>
        <w:t>审批服务管理局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占用使用国有资产总体情况为房屋</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万元；土地</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平方米，价值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万元；车辆</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辆，价值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万元。国有资产分布情况为：本级部门房屋</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万元；土地方米，价值万元；车辆辆，价值万元；办公家具价值万元；其他资产价值万元。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所属单位房屋平方米，价值 万元；土地  平方米，价值   万元；车辆辆，价值 万元；办公家具价值  万元；其他资产价值 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2020年</w:t>
      </w:r>
      <w:r>
        <w:rPr>
          <w:rFonts w:hint="eastAsia" w:ascii="仿宋" w:hAnsi="仿宋" w:eastAsia="仿宋" w:cs="宋体"/>
          <w:kern w:val="0"/>
          <w:sz w:val="32"/>
          <w:szCs w:val="32"/>
          <w:lang w:val="en-US" w:eastAsia="zh-CN"/>
        </w:rPr>
        <w:t>审批服务管理局</w:t>
      </w:r>
      <w:r>
        <w:rPr>
          <w:rFonts w:hint="eastAsia" w:ascii="仿宋" w:hAnsi="仿宋" w:eastAsia="仿宋" w:cs="宋体"/>
          <w:kern w:val="0"/>
          <w:sz w:val="32"/>
          <w:szCs w:val="32"/>
        </w:rPr>
        <w:t>重点项目绩效评价</w:t>
      </w:r>
      <w:r>
        <w:rPr>
          <w:rFonts w:hint="eastAsia" w:ascii="仿宋" w:hAnsi="仿宋" w:eastAsia="仿宋" w:cs="宋体"/>
          <w:kern w:val="0"/>
          <w:sz w:val="32"/>
          <w:szCs w:val="32"/>
          <w:lang w:val="en-US" w:eastAsia="zh-CN"/>
        </w:rPr>
        <w:t>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无</w:t>
      </w:r>
      <w:r>
        <w:rPr>
          <w:rFonts w:hint="eastAsia" w:ascii="仿宋" w:hAnsi="仿宋" w:eastAsia="仿宋" w:cs="宋体"/>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center"/>
        <w:outlineLvl w:val="1"/>
        <w:rPr>
          <w:rFonts w:hint="eastAsia" w:ascii="宋体" w:hAnsi="宋体" w:eastAsia="宋体" w:cs="宋体"/>
          <w:b/>
          <w:bCs/>
          <w:kern w:val="0"/>
          <w:sz w:val="44"/>
          <w:szCs w:val="44"/>
        </w:rPr>
      </w:pPr>
      <w:r>
        <w:rPr>
          <w:rFonts w:hint="eastAsia" w:ascii="宋体" w:hAnsi="宋体" w:eastAsia="宋体" w:cs="宋体"/>
          <w:b/>
          <w:bCs/>
          <w:kern w:val="0"/>
          <w:sz w:val="44"/>
          <w:szCs w:val="44"/>
          <w:lang w:val="en-US" w:eastAsia="zh-CN"/>
        </w:rPr>
        <w:t>审批服务管理局</w:t>
      </w:r>
      <w:r>
        <w:rPr>
          <w:rFonts w:hint="eastAsia" w:ascii="宋体" w:hAnsi="宋体" w:eastAsia="宋体" w:cs="宋体"/>
          <w:b/>
          <w:bCs/>
          <w:kern w:val="0"/>
          <w:sz w:val="44"/>
          <w:szCs w:val="44"/>
        </w:rPr>
        <w:t>2021年部门预算</w:t>
      </w:r>
      <w:r>
        <w:rPr>
          <w:rFonts w:hint="eastAsia" w:ascii="宋体" w:hAnsi="宋体" w:eastAsia="宋体" w:cs="宋体"/>
          <w:b/>
          <w:bCs/>
          <w:kern w:val="0"/>
          <w:sz w:val="44"/>
          <w:szCs w:val="44"/>
        </w:rPr>
        <w:br w:type="textWrapping"/>
      </w:r>
      <w:r>
        <w:rPr>
          <w:rFonts w:hint="eastAsia" w:ascii="宋体" w:hAnsi="宋体" w:cs="宋体"/>
          <w:b/>
          <w:bCs/>
          <w:kern w:val="0"/>
          <w:sz w:val="44"/>
          <w:szCs w:val="44"/>
          <w:lang w:val="en-US" w:eastAsia="zh-CN"/>
        </w:rPr>
        <w:t xml:space="preserve">        </w:t>
      </w:r>
      <w:r>
        <w:rPr>
          <w:rFonts w:hint="eastAsia" w:ascii="宋体" w:hAnsi="宋体" w:eastAsia="宋体" w:cs="宋体"/>
          <w:b/>
          <w:bCs/>
          <w:kern w:val="0"/>
          <w:sz w:val="44"/>
          <w:szCs w:val="44"/>
        </w:rPr>
        <w:t>—名词解释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bookmarkStart w:id="0" w:name="_GoBack"/>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w:t>
      </w:r>
      <w:bookmarkEnd w:id="0"/>
      <w:r>
        <w:rPr>
          <w:rFonts w:hint="eastAsia" w:ascii="仿宋" w:hAnsi="仿宋" w:eastAsia="仿宋" w:cs="宋体"/>
          <w:kern w:val="0"/>
          <w:sz w:val="32"/>
          <w:szCs w:val="32"/>
        </w:rPr>
        <w:t>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23</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A5F33"/>
    <w:rsid w:val="001A68AF"/>
    <w:rsid w:val="001B3655"/>
    <w:rsid w:val="001C1D11"/>
    <w:rsid w:val="001E2B95"/>
    <w:rsid w:val="0022537E"/>
    <w:rsid w:val="0023640E"/>
    <w:rsid w:val="00295D0F"/>
    <w:rsid w:val="002C4BD6"/>
    <w:rsid w:val="002D19BE"/>
    <w:rsid w:val="002E78B6"/>
    <w:rsid w:val="002F53FA"/>
    <w:rsid w:val="00322E88"/>
    <w:rsid w:val="003379A6"/>
    <w:rsid w:val="00341CFB"/>
    <w:rsid w:val="0035076A"/>
    <w:rsid w:val="00375123"/>
    <w:rsid w:val="003A44E5"/>
    <w:rsid w:val="003B5F79"/>
    <w:rsid w:val="003F169E"/>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97C6A"/>
    <w:rsid w:val="007A2546"/>
    <w:rsid w:val="007E5001"/>
    <w:rsid w:val="00806D8F"/>
    <w:rsid w:val="00821C98"/>
    <w:rsid w:val="008951C4"/>
    <w:rsid w:val="008C415B"/>
    <w:rsid w:val="00926C87"/>
    <w:rsid w:val="00955E13"/>
    <w:rsid w:val="009C5522"/>
    <w:rsid w:val="009F1323"/>
    <w:rsid w:val="00A04D0E"/>
    <w:rsid w:val="00A16743"/>
    <w:rsid w:val="00A24808"/>
    <w:rsid w:val="00A27798"/>
    <w:rsid w:val="00A63BB9"/>
    <w:rsid w:val="00A72DC8"/>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E7FCB"/>
    <w:rsid w:val="00CF4C56"/>
    <w:rsid w:val="00D61F97"/>
    <w:rsid w:val="00D62C7C"/>
    <w:rsid w:val="00D66148"/>
    <w:rsid w:val="00D77DE1"/>
    <w:rsid w:val="00D82D77"/>
    <w:rsid w:val="00D953BC"/>
    <w:rsid w:val="00DA2209"/>
    <w:rsid w:val="00DA2C8F"/>
    <w:rsid w:val="00DB1945"/>
    <w:rsid w:val="00DD5905"/>
    <w:rsid w:val="00DE70AB"/>
    <w:rsid w:val="00E00861"/>
    <w:rsid w:val="00E0407D"/>
    <w:rsid w:val="00E06E2A"/>
    <w:rsid w:val="00E14322"/>
    <w:rsid w:val="00E21502"/>
    <w:rsid w:val="00E82D24"/>
    <w:rsid w:val="00EB04E5"/>
    <w:rsid w:val="00EB3277"/>
    <w:rsid w:val="00ED10DD"/>
    <w:rsid w:val="00F832C0"/>
    <w:rsid w:val="00FB2A8B"/>
    <w:rsid w:val="05A06D4E"/>
    <w:rsid w:val="0B046229"/>
    <w:rsid w:val="18D86470"/>
    <w:rsid w:val="43930FF4"/>
    <w:rsid w:val="44202FE9"/>
    <w:rsid w:val="514C3250"/>
    <w:rsid w:val="7E85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kern w:val="2"/>
      <w:sz w:val="21"/>
      <w:szCs w:val="21"/>
      <w:lang w:val="en-US" w:eastAsia="zh-CN" w:bidi="ar"/>
    </w:rPr>
  </w:style>
  <w:style w:type="paragraph" w:styleId="3">
    <w:name w:val="Balloon Text"/>
    <w:basedOn w:val="1"/>
    <w:link w:val="14"/>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rFonts w:cs="Times New Roman"/>
      <w:b/>
      <w:bCs/>
    </w:rPr>
  </w:style>
  <w:style w:type="character" w:styleId="10">
    <w:name w:val="page number"/>
    <w:basedOn w:val="8"/>
    <w:qFormat/>
    <w:uiPriority w:val="0"/>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0"/>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0"/>
    <w:rPr>
      <w:rFonts w:ascii="Times New Roman" w:hAnsi="Times New Roman" w:eastAsia="宋体" w:cs="Times New Roman"/>
      <w:sz w:val="18"/>
      <w:szCs w:val="18"/>
    </w:rPr>
  </w:style>
  <w:style w:type="paragraph" w:customStyle="1" w:styleId="15">
    <w:name w:val="Char"/>
    <w:basedOn w:val="1"/>
    <w:uiPriority w:val="0"/>
    <w:pPr>
      <w:spacing w:line="360" w:lineRule="auto"/>
      <w:ind w:firstLine="200" w:firstLineChars="200"/>
    </w:pPr>
    <w:rPr>
      <w:rFonts w:ascii="宋体" w:hAnsi="宋体" w:cs="宋体"/>
      <w:sz w:val="24"/>
      <w:szCs w:val="20"/>
    </w:rPr>
  </w:style>
  <w:style w:type="character" w:customStyle="1" w:styleId="16">
    <w:name w:val="font21"/>
    <w:basedOn w:val="8"/>
    <w:uiPriority w:val="0"/>
    <w:rPr>
      <w:rFonts w:hint="eastAsia" w:ascii="宋体" w:hAnsi="宋体" w:eastAsia="宋体"/>
      <w:color w:val="000000"/>
      <w:sz w:val="18"/>
      <w:szCs w:val="18"/>
      <w:u w:val="none"/>
    </w:rPr>
  </w:style>
  <w:style w:type="paragraph" w:customStyle="1" w:styleId="17">
    <w:name w:val="Char1"/>
    <w:basedOn w:val="1"/>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1591</Words>
  <Characters>9072</Characters>
  <Lines>75</Lines>
  <Paragraphs>21</Paragraphs>
  <TotalTime>29</TotalTime>
  <ScaleCrop>false</ScaleCrop>
  <LinksUpToDate>false</LinksUpToDate>
  <CharactersWithSpaces>10642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粒粒</cp:lastModifiedBy>
  <cp:lastPrinted>2021-02-01T07:02:54Z</cp:lastPrinted>
  <dcterms:modified xsi:type="dcterms:W3CDTF">2021-02-01T07:18:17Z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