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2024年</w:t>
      </w:r>
      <w:r>
        <w:rPr>
          <w:rFonts w:hint="eastAsia" w:ascii="方正小标宋简体" w:eastAsia="方正小标宋简体"/>
          <w:bCs/>
          <w:kern w:val="0"/>
          <w:sz w:val="52"/>
          <w:szCs w:val="52"/>
        </w:rPr>
        <w:t>度</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银川市金凤区工业信息化和科学技术局</w:t>
      </w:r>
      <w:r>
        <w:rPr>
          <w:rFonts w:hint="eastAsia" w:ascii="方正小标宋简体" w:eastAsia="方正小标宋简体"/>
          <w:bCs/>
          <w:kern w:val="0"/>
          <w:sz w:val="52"/>
          <w:szCs w:val="52"/>
        </w:rPr>
        <w:t>部门决算</w:t>
      </w:r>
    </w:p>
    <w:p>
      <w:pPr>
        <w:widowControl/>
        <w:jc w:val="center"/>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···················1-3</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二、机构设置</w:t>
      </w:r>
      <w:r>
        <w:rPr>
          <w:rFonts w:hint="eastAsia" w:ascii="黑体" w:hAnsi="黑体" w:eastAsia="黑体"/>
          <w:kern w:val="0"/>
          <w:sz w:val="32"/>
          <w:szCs w:val="32"/>
          <w:lang w:val="en-US" w:eastAsia="zh-CN"/>
        </w:rPr>
        <w:t>··················3-4</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···············5</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··················6</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··················7</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···········8</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········9</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····10</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·····13</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九、国有资本经营预算财政拨款支出决算表······14</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···········15</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···············15</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···············15</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·······15</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·····16-19</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···19-20</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·····20</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··20</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·····20</w:t>
      </w:r>
    </w:p>
    <w:p>
      <w:pPr>
        <w:spacing w:line="560" w:lineRule="exact"/>
        <w:ind w:firstLine="640" w:firstLineChars="200"/>
        <w:outlineLvl w:val="1"/>
        <w:rPr>
          <w:rFonts w:hint="default" w:ascii="黑体" w:hAnsi="黑体" w:eastAsia="黑体"/>
          <w:kern w:val="0"/>
          <w:sz w:val="32"/>
          <w:szCs w:val="32"/>
          <w:lang w:val="en-US"/>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············20</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··········20-21</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·············21</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··········21</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········21</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bookmarkStart w:id="0" w:name="_GoBack"/>
      <w:bookmarkEnd w:id="0"/>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spacing w:line="560" w:lineRule="exact"/>
        <w:outlineLvl w:val="1"/>
        <w:rPr>
          <w:rFonts w:hint="eastAsia" w:eastAsia="仿宋_GB2312"/>
          <w:kern w:val="0"/>
          <w:sz w:val="32"/>
          <w:szCs w:val="32"/>
          <w:lang w:val="en-US" w:eastAsia="zh-CN"/>
        </w:rPr>
      </w:pPr>
      <w:r>
        <w:rPr>
          <w:rFonts w:hint="default" w:ascii="Times New Roman" w:hAnsi="Times New Roman" w:eastAsia="仿宋_GB2312" w:cs="Times New Roman"/>
          <w:b w:val="0"/>
          <w:bCs w:val="0"/>
          <w:kern w:val="0"/>
          <w:sz w:val="32"/>
          <w:szCs w:val="32"/>
        </w:rPr>
        <w:t>　</w:t>
      </w:r>
      <w:r>
        <w:rPr>
          <w:rFonts w:hint="eastAsia" w:ascii="仿宋" w:hAnsi="仿宋" w:eastAsia="仿宋" w:cs="仿宋"/>
          <w:color w:val="000000"/>
          <w:sz w:val="32"/>
          <w:szCs w:val="32"/>
        </w:rPr>
        <w:t>（</w:t>
      </w:r>
      <w:r>
        <w:rPr>
          <w:rFonts w:hint="eastAsia" w:eastAsia="仿宋_GB2312"/>
          <w:kern w:val="0"/>
          <w:sz w:val="32"/>
          <w:szCs w:val="32"/>
          <w:lang w:val="en-US" w:eastAsia="zh-CN"/>
        </w:rPr>
        <w:t>1）执行国家、自治区、银川市工业和信息化发展的方针、政策，组织实施辖区工业发展规划、计划和措施，提出优化产业布局、结构调整的政策建议，指导实施行业技术规范和标准，指导行业质量管理，指导协调辖区工业企业发展。</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2）执行国家、自治区、银川市创新驱动发展战略，拟订辖区科技创新发展规划、计划，并组织实施。统筹辖区科技创新体系建设和科技体制改革，会同有关部门健全技术创新激励机制。推进创新发展、科技资源和协同创新能力建设，优化科研体系建设，组织推动多元化科技投入体系建设。指导科研机构改革发展，推动企业科技创新能力建设，落实辖区科技计划（专项、基金等）的优先支持方向、重点任务和年度安排。推进辖区重大科技决策咨询制度建设。</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3）监测分析辖区工业运行态势，统计并发布相关信息，进行预测预警和信息引导，协调解决工业运行中的有关问题，并提出相关政策建议。指导工业行业安全生产管理有关工作，指导工业领域信息安全工作。负责工业应急管理和配合国防动员有关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4）负责辖区工业投资（技改）项目的实施与统计分析，指导工业行业技术创新和技术进步，实施技术改造和新产品、新技术的研发工作，推动相关科研成果产业化，推动新兴产业发展，负责工业经济对外合作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5）负责组织实施工业能源节约和资源综合利用的政策措施，负责监察工业企业能耗双控及工业节能审查工作。参与实施能源节约和资源综合利用、清洁生产促进规划，组织协调重大示范工程和工业环境保护、新产品、新技术、新设备、新材料的推广应用，指导工业行业、科技企业绿色发展，做好节能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（6）负责辖区工业企业“小升规”后备企业培育，负责创新型中小企业和“专精特新”企业培育、申报、审核等工作。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（7）组织申报各类科技项目，会同有关部门提出优化配置科技资源的政策措施建议，推动多元化的科技投入体系建设。</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（8）贯彻落实国家、自治区、银川市基础研究规划、政策和标准。推进辖区科技企业孵化器，众创空间等科技平台建设，指导辖区各类科技园区建设工作。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（9）落实辖区科技促进农业和社会发展的规划、政策措施。协调、指导并组织实施金凤区科技特派员创业行动，会同有关部门开展农村科技工作。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（10）落实科技对外交流与创新能力开放合作的规划和政策措施，推动科技合作。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11）牵头组织辖区技术转移体系建设，拟订金凤区科技成果转移转化和促进产学研结合的相关政策措施，并监督实施。指导科技服务业、技术市场和科技中介组织发展。会同有关部门组织实施科技成果的引进、试验、示范和推广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（12）负责科技监督评价体系建设和科技评估管理，统筹科研诚信建设。组织实施辖区创新调查和科技报告制度，指导科技评价机制改革和科技保密工作。负责科学技术奖励申报有关工作。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（13）落实促进科技安全和统筹军民科技融合发展部署要求。</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（14）拟订科学普及和科学传播规划、政策措施。负责科技合作、科技档案、科技信息和科技统计等工作。开展科技培训、学术交流和科技咨询服务。</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（15）贯彻落实自治区和银川市关于人才工作的政策文件、会议精神和重大部署。按照要求，对工信、科技人才工作和人才队伍建设进行统筹谋划、宏观把控、综合协调、督促指导。</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（16）负责辖区科技类校外培训机构的办学许可审批、监管工作。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（17）负责促进科技和金融结合试点工作。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（18）强化对纳入相对集中行政许可权改革范围的行政审批事项的事中事后监管。强化执法、法制审核职责，具体负责工业节能监察执法工作。</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（19）贯彻落实中央统筹发展和安全、推进生态文明建设部署及自治区党委、银川市委、金凤区委要求，落实安全生产、生态环境保护相关职责。</w:t>
      </w:r>
    </w:p>
    <w:p>
      <w:pPr>
        <w:spacing w:line="560" w:lineRule="exact"/>
        <w:outlineLvl w:val="1"/>
        <w:rPr>
          <w:rFonts w:hint="eastAsia" w:eastAsia="仿宋_GB2312"/>
          <w:kern w:val="0"/>
          <w:sz w:val="32"/>
          <w:szCs w:val="32"/>
          <w:lang w:val="en-US" w:eastAsia="zh-CN"/>
        </w:rPr>
      </w:pPr>
      <w:r>
        <w:rPr>
          <w:rFonts w:hint="eastAsia" w:eastAsia="仿宋_GB2312"/>
          <w:kern w:val="0"/>
          <w:sz w:val="32"/>
          <w:szCs w:val="32"/>
          <w:lang w:val="en-US" w:eastAsia="zh-CN"/>
        </w:rPr>
        <w:t>（20）完成区委和区政府交办的其他任务。</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spacing w:line="560" w:lineRule="exact"/>
        <w:outlineLvl w:val="1"/>
        <w:rPr>
          <w:rFonts w:hint="eastAsia" w:eastAsia="仿宋_GB2312"/>
          <w:kern w:val="0"/>
          <w:sz w:val="32"/>
          <w:szCs w:val="32"/>
        </w:rPr>
      </w:pPr>
      <w:r>
        <w:rPr>
          <w:rFonts w:hint="eastAsia" w:eastAsia="仿宋_GB2312"/>
          <w:kern w:val="0"/>
          <w:sz w:val="32"/>
          <w:szCs w:val="32"/>
          <w:lang w:val="en-US" w:eastAsia="zh-CN"/>
        </w:rPr>
        <w:t>1、机构情况：</w:t>
      </w:r>
      <w:r>
        <w:rPr>
          <w:rFonts w:hint="eastAsia" w:eastAsia="仿宋_GB2312"/>
          <w:kern w:val="0"/>
          <w:sz w:val="32"/>
          <w:szCs w:val="32"/>
        </w:rPr>
        <w:t>按照部门决算编报要求，</w:t>
      </w:r>
      <w:r>
        <w:rPr>
          <w:rFonts w:hint="eastAsia" w:eastAsia="仿宋_GB2312"/>
          <w:kern w:val="0"/>
          <w:sz w:val="32"/>
          <w:szCs w:val="32"/>
          <w:lang w:eastAsia="zh-CN"/>
        </w:rPr>
        <w:t>银川市金凤区工业信息化和科学技术局</w:t>
      </w:r>
      <w:r>
        <w:rPr>
          <w:rFonts w:hint="eastAsia" w:eastAsia="仿宋_GB2312"/>
          <w:kern w:val="0"/>
          <w:sz w:val="32"/>
          <w:szCs w:val="32"/>
        </w:rPr>
        <w:t>纳入</w:t>
      </w:r>
      <w:r>
        <w:rPr>
          <w:rFonts w:hint="eastAsia" w:eastAsia="仿宋_GB2312"/>
          <w:kern w:val="0"/>
          <w:sz w:val="32"/>
          <w:szCs w:val="32"/>
          <w:lang w:val="en-US" w:eastAsia="zh-CN"/>
        </w:rPr>
        <w:t>2024</w:t>
      </w:r>
      <w:r>
        <w:rPr>
          <w:rFonts w:hint="eastAsia" w:eastAsia="仿宋_GB2312"/>
          <w:kern w:val="0"/>
          <w:sz w:val="32"/>
          <w:szCs w:val="32"/>
        </w:rPr>
        <w:t>年度部门决算编报范围的单位共</w:t>
      </w:r>
      <w:r>
        <w:rPr>
          <w:rFonts w:hint="eastAsia" w:eastAsia="仿宋_GB2312"/>
          <w:kern w:val="0"/>
          <w:sz w:val="32"/>
          <w:szCs w:val="32"/>
          <w:lang w:val="en-US" w:eastAsia="zh-CN"/>
        </w:rPr>
        <w:t>1</w:t>
      </w:r>
      <w:r>
        <w:rPr>
          <w:rFonts w:hint="eastAsia" w:eastAsia="仿宋_GB2312"/>
          <w:kern w:val="0"/>
          <w:sz w:val="32"/>
          <w:szCs w:val="32"/>
        </w:rPr>
        <w:t>个</w:t>
      </w:r>
      <w:r>
        <w:rPr>
          <w:rFonts w:hint="eastAsia" w:eastAsia="仿宋_GB2312"/>
          <w:kern w:val="0"/>
          <w:sz w:val="32"/>
          <w:szCs w:val="32"/>
          <w:lang w:eastAsia="zh-CN"/>
        </w:rPr>
        <w:t>。</w:t>
      </w:r>
    </w:p>
    <w:p>
      <w:pPr>
        <w:spacing w:line="560" w:lineRule="exact"/>
        <w:outlineLvl w:val="1"/>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eastAsia="zh-CN"/>
        </w:rPr>
        <w:t>、人员情况：</w:t>
      </w:r>
      <w:r>
        <w:rPr>
          <w:rFonts w:hint="eastAsia" w:eastAsia="仿宋_GB2312"/>
          <w:kern w:val="0"/>
          <w:sz w:val="32"/>
          <w:szCs w:val="32"/>
        </w:rPr>
        <w:t>2024年末共有财政供养人数8人，较上年数据增加5人。增加人员原因为2024年新考录公务员1名。政策性安置人员1人，较上年减少2人，人员减少原因是2024年12月底调离政策性安置人员2名。事业人员3人，因2024年4月份机构改革，成立事业中心银川市金凤区工业信息化和科技创新服务中心，退休人员10人已移交社保机构。</w:t>
      </w:r>
    </w:p>
    <w:p>
      <w:pPr>
        <w:spacing w:line="560" w:lineRule="exact"/>
        <w:outlineLvl w:val="1"/>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883" w:firstLineChars="200"/>
        <w:jc w:val="lef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2024年</w:t>
      </w:r>
      <w:r>
        <w:rPr>
          <w:rFonts w:eastAsia="黑体"/>
          <w:b/>
          <w:bCs/>
          <w:color w:val="000000"/>
          <w:kern w:val="0"/>
          <w:sz w:val="40"/>
          <w:szCs w:val="40"/>
        </w:rPr>
        <w:t>度部门决算表</w:t>
      </w:r>
    </w:p>
    <w:tbl>
      <w:tblPr>
        <w:tblStyle w:val="10"/>
        <w:tblpPr w:leftFromText="180" w:rightFromText="180" w:vertAnchor="text" w:horzAnchor="page" w:tblpX="1387" w:tblpY="42"/>
        <w:tblOverlap w:val="never"/>
        <w:tblW w:w="13769" w:type="dxa"/>
        <w:tblInd w:w="0" w:type="dxa"/>
        <w:tblLayout w:type="fixed"/>
        <w:tblCellMar>
          <w:top w:w="0" w:type="dxa"/>
          <w:left w:w="108" w:type="dxa"/>
          <w:bottom w:w="0" w:type="dxa"/>
          <w:right w:w="108" w:type="dxa"/>
        </w:tblCellMar>
      </w:tblPr>
      <w:tblGrid>
        <w:gridCol w:w="3938"/>
        <w:gridCol w:w="868"/>
        <w:gridCol w:w="2180"/>
        <w:gridCol w:w="3699"/>
        <w:gridCol w:w="955"/>
        <w:gridCol w:w="2095"/>
        <w:gridCol w:w="34"/>
      </w:tblGrid>
      <w:tr>
        <w:tblPrEx>
          <w:tblCellMar>
            <w:top w:w="0" w:type="dxa"/>
            <w:left w:w="108" w:type="dxa"/>
            <w:bottom w:w="0" w:type="dxa"/>
            <w:right w:w="108" w:type="dxa"/>
          </w:tblCellMar>
        </w:tblPrEx>
        <w:trPr>
          <w:trHeight w:val="243" w:hRule="atLeast"/>
        </w:trPr>
        <w:tc>
          <w:tcPr>
            <w:tcW w:w="13769" w:type="dxa"/>
            <w:gridSpan w:val="7"/>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582" w:hRule="exact"/>
        </w:trPr>
        <w:tc>
          <w:tcPr>
            <w:tcW w:w="6986" w:type="dxa"/>
            <w:gridSpan w:val="3"/>
            <w:tcBorders>
              <w:top w:val="nil"/>
              <w:left w:val="nil"/>
              <w:bottom w:val="nil"/>
              <w:right w:val="nil"/>
            </w:tcBorders>
            <w:vAlign w:val="center"/>
          </w:tcPr>
          <w:p>
            <w:pPr>
              <w:widowControl/>
              <w:jc w:val="left"/>
              <w:rPr>
                <w:rFonts w:hint="eastAsia" w:eastAsia="宋体"/>
                <w:color w:val="000000"/>
                <w:kern w:val="0"/>
                <w:sz w:val="20"/>
                <w:lang w:eastAsia="zh-CN"/>
              </w:rPr>
            </w:pPr>
            <w:r>
              <w:rPr>
                <w:color w:val="000000"/>
                <w:kern w:val="0"/>
                <w:sz w:val="24"/>
              </w:rPr>
              <w:t>公开部门：</w:t>
            </w:r>
            <w:r>
              <w:rPr>
                <w:rFonts w:hint="eastAsia"/>
                <w:color w:val="000000"/>
                <w:kern w:val="0"/>
                <w:sz w:val="24"/>
                <w:lang w:eastAsia="zh-CN"/>
              </w:rPr>
              <w:t>银川市金凤区工业信息化和科学技术局</w:t>
            </w:r>
          </w:p>
        </w:tc>
        <w:tc>
          <w:tcPr>
            <w:tcW w:w="6749"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86"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83" w:type="dxa"/>
            <w:gridSpan w:val="4"/>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8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699"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8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699"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80" w:type="dxa"/>
            <w:tcBorders>
              <w:top w:val="nil"/>
              <w:left w:val="nil"/>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20,119,876.96</w:t>
                  </w:r>
                </w:p>
              </w:tc>
            </w:tr>
          </w:tbl>
          <w:p>
            <w:pPr>
              <w:widowControl/>
              <w:jc w:val="right"/>
              <w:textAlignment w:val="center"/>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12,565,586.79</w:t>
                  </w:r>
                </w:p>
              </w:tc>
            </w:tr>
          </w:tbl>
          <w:p>
            <w:pPr>
              <w:widowControl/>
              <w:jc w:val="right"/>
              <w:textAlignment w:val="center"/>
              <w:rPr>
                <w:color w:val="000000"/>
                <w:kern w:val="0"/>
                <w:sz w:val="18"/>
                <w:szCs w:val="18"/>
              </w:rPr>
            </w:pP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jc w:val="right"/>
              <w:textAlignment w:val="center"/>
              <w:rPr>
                <w:color w:val="000000"/>
                <w:kern w:val="0"/>
                <w:sz w:val="18"/>
                <w:szCs w:val="18"/>
              </w:rPr>
            </w:pP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80" w:type="dxa"/>
            <w:tcBorders>
              <w:top w:val="nil"/>
              <w:left w:val="nil"/>
              <w:bottom w:val="single" w:color="000000" w:sz="4" w:space="0"/>
              <w:right w:val="single" w:color="000000" w:sz="4" w:space="0"/>
            </w:tcBorders>
            <w:shd w:val="clear" w:color="auto" w:fill="auto"/>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149,578.88</w:t>
                  </w:r>
                </w:p>
              </w:tc>
            </w:tr>
          </w:tbl>
          <w:p>
            <w:pPr>
              <w:keepNext w:val="0"/>
              <w:keepLines w:val="0"/>
              <w:widowControl/>
              <w:suppressLineNumbers w:val="0"/>
              <w:jc w:val="center"/>
              <w:textAlignment w:val="center"/>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389,607.54</w:t>
                  </w:r>
                </w:p>
              </w:tc>
            </w:tr>
          </w:tbl>
          <w:p>
            <w:pPr>
              <w:widowControl/>
              <w:jc w:val="right"/>
              <w:textAlignment w:val="center"/>
              <w:rPr>
                <w:color w:val="000000"/>
                <w:kern w:val="0"/>
                <w:sz w:val="18"/>
                <w:szCs w:val="18"/>
              </w:rPr>
            </w:pP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106,318.71</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906,700.00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23,860.00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6,141,705.00</w:t>
                  </w:r>
                </w:p>
              </w:tc>
            </w:tr>
          </w:tbl>
          <w:p>
            <w:pPr>
              <w:widowControl/>
              <w:jc w:val="right"/>
              <w:textAlignment w:val="center"/>
              <w:rPr>
                <w:color w:val="000000"/>
                <w:kern w:val="0"/>
                <w:sz w:val="18"/>
                <w:szCs w:val="18"/>
              </w:rPr>
            </w:pP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80"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699"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699"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699"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136,686.40</w:t>
                  </w:r>
                </w:p>
              </w:tc>
            </w:tr>
          </w:tbl>
          <w:p>
            <w:pPr>
              <w:widowControl/>
              <w:jc w:val="right"/>
              <w:textAlignment w:val="center"/>
              <w:rPr>
                <w:color w:val="000000"/>
                <w:kern w:val="0"/>
                <w:sz w:val="18"/>
                <w:szCs w:val="18"/>
              </w:rPr>
            </w:pP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80" w:type="dxa"/>
            <w:tcBorders>
              <w:top w:val="single" w:color="auto" w:sz="4" w:space="0"/>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b/>
                <w:bCs/>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80"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80"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699" w:type="dxa"/>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80" w:type="dxa"/>
            <w:tcBorders>
              <w:top w:val="nil"/>
              <w:left w:val="nil"/>
              <w:bottom w:val="single" w:color="auto"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20,269,455.84</w:t>
                        </w:r>
                      </w:p>
                    </w:tc>
                  </w:tr>
                </w:tbl>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bl>
          <w:p>
            <w:pPr>
              <w:widowControl/>
              <w:jc w:val="right"/>
              <w:textAlignment w:val="center"/>
              <w:rPr>
                <w:color w:val="000000"/>
                <w:kern w:val="0"/>
                <w:sz w:val="18"/>
                <w:szCs w:val="18"/>
              </w:rPr>
            </w:pPr>
          </w:p>
        </w:tc>
        <w:tc>
          <w:tcPr>
            <w:tcW w:w="3699" w:type="dxa"/>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20,270,464.44</w:t>
                  </w:r>
                </w:p>
              </w:tc>
            </w:tr>
          </w:tbl>
          <w:p>
            <w:pPr>
              <w:widowControl/>
              <w:jc w:val="right"/>
              <w:textAlignment w:val="center"/>
              <w:rPr>
                <w:color w:val="000000"/>
                <w:kern w:val="0"/>
                <w:sz w:val="18"/>
                <w:szCs w:val="18"/>
              </w:rPr>
            </w:pP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8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699" w:type="dxa"/>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jc w:val="center"/>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84,602.65</w:t>
                  </w:r>
                </w:p>
              </w:tc>
            </w:tr>
          </w:tbl>
          <w:p>
            <w:pPr>
              <w:keepNext w:val="0"/>
              <w:keepLines w:val="0"/>
              <w:widowControl/>
              <w:suppressLineNumbers w:val="0"/>
              <w:tabs>
                <w:tab w:val="left" w:pos="472"/>
                <w:tab w:val="center" w:pos="1041"/>
              </w:tabs>
              <w:jc w:val="left"/>
              <w:textAlignment w:val="center"/>
              <w:rPr>
                <w:color w:val="000000"/>
                <w:kern w:val="0"/>
                <w:sz w:val="18"/>
                <w:szCs w:val="18"/>
              </w:rPr>
            </w:pPr>
            <w:r>
              <w:rPr>
                <w:rFonts w:hint="eastAsia" w:ascii="宋体" w:hAnsi="宋体" w:eastAsia="宋体" w:cs="宋体"/>
                <w:i w:val="0"/>
                <w:color w:val="000000"/>
                <w:kern w:val="0"/>
                <w:sz w:val="22"/>
                <w:szCs w:val="22"/>
                <w:u w:val="none"/>
                <w:lang w:val="en-US" w:eastAsia="zh-CN" w:bidi="ar"/>
              </w:rPr>
              <w:t>0</w:t>
            </w:r>
          </w:p>
        </w:tc>
        <w:tc>
          <w:tcPr>
            <w:tcW w:w="3699"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keepNext w:val="0"/>
                    <w:keepLines w:val="0"/>
                    <w:widowControl/>
                    <w:suppressLineNumbers w:val="0"/>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77,464.05</w:t>
                  </w:r>
                </w:p>
              </w:tc>
            </w:tr>
          </w:tbl>
          <w:p>
            <w:pPr>
              <w:keepNext w:val="0"/>
              <w:keepLines w:val="0"/>
              <w:widowControl/>
              <w:suppressLineNumbers w:val="0"/>
              <w:jc w:val="center"/>
              <w:textAlignment w:val="center"/>
              <w:rPr>
                <w:b/>
                <w:bCs/>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990" w:type="dxa"/>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9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20,354,058.49</w:t>
                        </w:r>
                      </w:p>
                    </w:tc>
                  </w:tr>
                </w:tbl>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bl>
          <w:p>
            <w:pPr>
              <w:widowControl/>
              <w:jc w:val="right"/>
              <w:textAlignment w:val="center"/>
              <w:rPr>
                <w:color w:val="000000"/>
                <w:kern w:val="0"/>
                <w:sz w:val="18"/>
                <w:szCs w:val="18"/>
              </w:rPr>
            </w:pPr>
          </w:p>
        </w:tc>
        <w:tc>
          <w:tcPr>
            <w:tcW w:w="3699"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12" w:space="0"/>
                          <w:right w:val="single" w:color="D4D4D4" w:sz="12"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20,354,058.49</w:t>
                        </w:r>
                      </w:p>
                    </w:tc>
                  </w:tr>
                </w:tbl>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bl>
          <w:p>
            <w:pPr>
              <w:widowControl/>
              <w:jc w:val="right"/>
              <w:textAlignment w:val="center"/>
              <w:rPr>
                <w:b/>
                <w:bCs/>
                <w:color w:val="000000"/>
                <w:kern w:val="0"/>
                <w:sz w:val="18"/>
                <w:szCs w:val="18"/>
              </w:rPr>
            </w:pPr>
          </w:p>
        </w:tc>
      </w:tr>
      <w:tr>
        <w:tblPrEx>
          <w:tblCellMar>
            <w:top w:w="0" w:type="dxa"/>
            <w:left w:w="108" w:type="dxa"/>
            <w:bottom w:w="0" w:type="dxa"/>
            <w:right w:w="108" w:type="dxa"/>
          </w:tblCellMar>
        </w:tblPrEx>
        <w:trPr>
          <w:trHeight w:val="275" w:hRule="exact"/>
        </w:trPr>
        <w:tc>
          <w:tcPr>
            <w:tcW w:w="13769" w:type="dxa"/>
            <w:gridSpan w:val="7"/>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CellMar>
            <w:top w:w="0" w:type="dxa"/>
            <w:left w:w="0" w:type="dxa"/>
            <w:bottom w:w="0" w:type="dxa"/>
            <w:right w:w="0" w:type="dxa"/>
          </w:tblCellMar>
        </w:tblPrEx>
        <w:trPr>
          <w:trHeight w:val="90"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eastAsia="zh-CN"/>
              </w:rPr>
              <w:t>银川市金凤区工业信息化和科学技术局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20,269,455.84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20,119,876.96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149,578.88</w:t>
                        </w:r>
                      </w:p>
                    </w:tc>
                  </w:tr>
                </w:tbl>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bl>
          <w:p>
            <w:pPr>
              <w:keepNext w:val="0"/>
              <w:keepLines w:val="0"/>
              <w:widowControl/>
              <w:suppressLineNumbers w:val="0"/>
              <w:jc w:val="center"/>
              <w:textAlignment w:val="center"/>
              <w:rPr>
                <w:rFonts w:ascii="宋体" w:hAnsi="宋体" w:cs="宋体"/>
                <w:color w:val="000000"/>
                <w:kern w:val="0"/>
                <w:sz w:val="22"/>
              </w:rPr>
            </w:pP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2060101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1,136,924.25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1,136,924.25</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2060199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其他科学技术管理事务支出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149,578.88</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149,578.88</w:t>
            </w:r>
          </w:p>
        </w:tc>
      </w:tr>
      <w:tr>
        <w:tblPrEx>
          <w:tblCellMar>
            <w:top w:w="0" w:type="dxa"/>
            <w:left w:w="0" w:type="dxa"/>
            <w:bottom w:w="0" w:type="dxa"/>
            <w:right w:w="0" w:type="dxa"/>
          </w:tblCellMar>
        </w:tblPrEx>
        <w:trPr>
          <w:trHeight w:val="319"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2060203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自然科学基金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140,000.00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140,000.00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2060404</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科技成果转化与扩散</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2,241,500.00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2,241,500.00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2060499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其他技术研究与开发支出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8,826,000.00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8,826,000.00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2060599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其他科技条件与服务支出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5,590.00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5,590.00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2060702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科普活动</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64,985.06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64,985.06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126,781.18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126,781.18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129,347.68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129,347.68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133,478.68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133,478.68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51,632.71</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51,632.71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54,686.00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54,686.00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2111103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减排专项支出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906,700.00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906,700.00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2120101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23,860.00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23,860.00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2150517</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产业发展</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4,641,705.00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4,641,705.00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2150805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中小企业发展专项</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1,500,000.00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1,500,000.00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118,684.00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118,684.00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18,002.40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18,002.40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tbl>
      <w:tblPr>
        <w:tblStyle w:val="10"/>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支出决算表</w:t>
            </w:r>
          </w:p>
        </w:tc>
      </w:tr>
      <w:tr>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eastAsia="zh-CN"/>
              </w:rPr>
              <w:t>银川市金凤区工业信息化和科学技术局</w:t>
            </w: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6</w:t>
            </w:r>
          </w:p>
        </w:tc>
      </w:tr>
      <w:tr>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20,276,594.44</w:t>
                  </w:r>
                </w:p>
              </w:tc>
            </w:tr>
          </w:tbl>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2" w:type="dxa"/>
            <w:tcBorders>
              <w:top w:val="nil"/>
              <w:left w:val="nil"/>
              <w:bottom w:val="single" w:color="000000" w:sz="4" w:space="0"/>
              <w:right w:val="single" w:color="000000" w:sz="4" w:space="0"/>
            </w:tcBorders>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1,799,526.90</w:t>
                  </w:r>
                </w:p>
              </w:tc>
            </w:tr>
          </w:tbl>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96" w:type="dxa"/>
            <w:tcBorders>
              <w:top w:val="nil"/>
              <w:left w:val="nil"/>
              <w:bottom w:val="single" w:color="000000" w:sz="4" w:space="0"/>
              <w:right w:val="single" w:color="000000" w:sz="4" w:space="0"/>
            </w:tcBorders>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18,477,067.54</w:t>
                  </w:r>
                </w:p>
              </w:tc>
            </w:tr>
          </w:tbl>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2"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2060101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1,136,924.25</w:t>
                  </w:r>
                </w:p>
              </w:tc>
            </w:tr>
          </w:tbl>
          <w:p>
            <w:pPr>
              <w:widowControl/>
              <w:jc w:val="right"/>
              <w:rPr>
                <w:color w:val="000000"/>
                <w:kern w:val="0"/>
                <w:sz w:val="22"/>
              </w:rPr>
            </w:pPr>
            <w:r>
              <w:rPr>
                <w:color w:val="000000"/>
                <w:kern w:val="0"/>
                <w:sz w:val="22"/>
              </w:rPr>
              <w:t>　</w:t>
            </w: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1,136,924.25</w:t>
                        </w:r>
                      </w:p>
                    </w:tc>
                  </w:tr>
                </w:tbl>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bl>
          <w:p>
            <w:pPr>
              <w:widowControl/>
              <w:jc w:val="right"/>
              <w:rPr>
                <w:color w:val="000000"/>
                <w:kern w:val="0"/>
                <w:sz w:val="22"/>
              </w:rPr>
            </w:pPr>
            <w:r>
              <w:rPr>
                <w:color w:val="000000"/>
                <w:kern w:val="0"/>
                <w:sz w:val="22"/>
              </w:rPr>
              <w:t>　</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jc w:val="right"/>
              <w:rPr>
                <w:color w:val="000000"/>
                <w:kern w:val="0"/>
                <w:sz w:val="22"/>
              </w:rPr>
            </w:pPr>
            <w:r>
              <w:rPr>
                <w:color w:val="000000"/>
                <w:kern w:val="0"/>
                <w:sz w:val="22"/>
              </w:rPr>
              <w:t>　</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2"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2060199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其他科学技术管理事务支出</w:t>
            </w:r>
          </w:p>
        </w:tc>
        <w:tc>
          <w:tcPr>
            <w:tcW w:w="1932" w:type="dxa"/>
            <w:tcBorders>
              <w:top w:val="nil"/>
              <w:left w:val="nil"/>
              <w:bottom w:val="single" w:color="000000" w:sz="4" w:space="0"/>
              <w:right w:val="single" w:color="000000" w:sz="4" w:space="0"/>
            </w:tcBorders>
            <w:vAlign w:val="center"/>
          </w:tcPr>
          <w:tbl>
            <w:tblPr>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156,717.48</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6,130.00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150,587.48</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2060203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自然科学基金</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r>
          </w:tbl>
          <w:p>
            <w:pPr>
              <w:widowControl/>
              <w:jc w:val="right"/>
              <w:rPr>
                <w:color w:val="000000"/>
                <w:kern w:val="0"/>
                <w:sz w:val="22"/>
              </w:rPr>
            </w:pP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r>
          </w:tbl>
          <w:p>
            <w:pPr>
              <w:widowControl/>
              <w:jc w:val="right"/>
              <w:rPr>
                <w:color w:val="000000"/>
                <w:kern w:val="0"/>
                <w:sz w:val="22"/>
              </w:rPr>
            </w:pPr>
            <w:r>
              <w:rPr>
                <w:color w:val="000000"/>
                <w:kern w:val="0"/>
                <w:sz w:val="22"/>
              </w:rPr>
              <w:t>　</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2060404</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科技成果转化与扩散</w:t>
            </w:r>
          </w:p>
        </w:tc>
        <w:tc>
          <w:tcPr>
            <w:tcW w:w="1932" w:type="dxa"/>
            <w:tcBorders>
              <w:top w:val="nil"/>
              <w:left w:val="nil"/>
              <w:bottom w:val="single" w:color="000000" w:sz="4" w:space="0"/>
              <w:right w:val="single" w:color="000000"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2,241,500.00</w:t>
                  </w:r>
                </w:p>
              </w:tc>
            </w:tr>
          </w:tbl>
          <w:p>
            <w:pPr>
              <w:widowControl/>
              <w:jc w:val="right"/>
              <w:rPr>
                <w:color w:val="000000"/>
                <w:kern w:val="0"/>
                <w:sz w:val="22"/>
              </w:rPr>
            </w:pP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2,241,500.00</w:t>
                  </w:r>
                </w:p>
              </w:tc>
            </w:tr>
          </w:tbl>
          <w:p>
            <w:pPr>
              <w:widowControl/>
              <w:jc w:val="right"/>
              <w:rPr>
                <w:color w:val="000000"/>
                <w:kern w:val="0"/>
                <w:sz w:val="22"/>
              </w:rPr>
            </w:pPr>
            <w:r>
              <w:rPr>
                <w:color w:val="000000"/>
                <w:kern w:val="0"/>
                <w:sz w:val="22"/>
              </w:rPr>
              <w:t>　</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2060499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其他技术研究与开发支出</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8,826,000.00</w:t>
                  </w:r>
                </w:p>
              </w:tc>
            </w:tr>
          </w:tbl>
          <w:p>
            <w:pPr>
              <w:widowControl/>
              <w:jc w:val="right"/>
              <w:rPr>
                <w:color w:val="000000"/>
                <w:kern w:val="0"/>
                <w:sz w:val="22"/>
              </w:rPr>
            </w:pP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8,826,000.00</w:t>
                  </w:r>
                </w:p>
              </w:tc>
            </w:tr>
          </w:tbl>
          <w:p>
            <w:pPr>
              <w:widowControl/>
              <w:jc w:val="right"/>
              <w:rPr>
                <w:color w:val="000000"/>
                <w:kern w:val="0"/>
                <w:sz w:val="22"/>
              </w:rPr>
            </w:pPr>
            <w:r>
              <w:rPr>
                <w:color w:val="000000"/>
                <w:kern w:val="0"/>
                <w:sz w:val="22"/>
              </w:rPr>
              <w:t>　</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2060599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其他科技条件与服务支出</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5,590.00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5,590.00</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2060702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科普活动</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64,985.06</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64,985.06</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57"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行政单位离退休</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,781.18</w:t>
                  </w:r>
                </w:p>
              </w:tc>
            </w:tr>
          </w:tbl>
          <w:p>
            <w:pPr>
              <w:widowControl/>
              <w:jc w:val="right"/>
              <w:rPr>
                <w:color w:val="000000"/>
                <w:kern w:val="0"/>
                <w:sz w:val="22"/>
              </w:rPr>
            </w:pPr>
            <w:r>
              <w:rPr>
                <w:color w:val="000000"/>
                <w:kern w:val="0"/>
                <w:sz w:val="22"/>
              </w:rPr>
              <w:t>　</w:t>
            </w: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125,781.18</w:t>
                  </w:r>
                </w:p>
              </w:tc>
            </w:tr>
          </w:tbl>
          <w:p>
            <w:pPr>
              <w:widowControl/>
              <w:jc w:val="right"/>
              <w:rPr>
                <w:color w:val="000000"/>
                <w:kern w:val="0"/>
                <w:sz w:val="22"/>
              </w:rPr>
            </w:pPr>
            <w:r>
              <w:rPr>
                <w:color w:val="000000"/>
                <w:kern w:val="0"/>
                <w:sz w:val="22"/>
              </w:rPr>
              <w:t>　</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r>
          </w:tbl>
          <w:p>
            <w:pPr>
              <w:widowControl/>
              <w:jc w:val="right"/>
              <w:rPr>
                <w:color w:val="000000"/>
                <w:kern w:val="0"/>
                <w:sz w:val="22"/>
              </w:rPr>
            </w:pPr>
            <w:r>
              <w:rPr>
                <w:color w:val="000000"/>
                <w:kern w:val="0"/>
                <w:sz w:val="22"/>
              </w:rPr>
              <w:t>　</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2080505</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129,347.68</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76,712.00</w:t>
                  </w:r>
                </w:p>
              </w:tc>
            </w:tr>
          </w:tbl>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52,635.68</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2080506</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133,478.68</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38,356.00</w:t>
                  </w:r>
                </w:p>
              </w:tc>
            </w:tr>
          </w:tbl>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95,122.68</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行政单位医疗</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31,220.00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31,220.00</w:t>
                  </w:r>
                </w:p>
              </w:tc>
            </w:tr>
          </w:tbl>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20,412.71</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公务员医疗补助</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54,686.00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52,872.28</w:t>
                  </w:r>
                </w:p>
              </w:tc>
            </w:tr>
          </w:tbl>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1,813.72</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2111103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减排专项支出</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906,700.00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906,700.00</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2120101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23,860.00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23,860.00</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2150517</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产业发展</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4,641,705.00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4,641,705.00</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3"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2150805</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中小企业发展专项</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1,500,000.00</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住房公积金</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118,684.00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66,814.97</w:t>
                  </w:r>
                </w:p>
              </w:tc>
            </w:tr>
          </w:tbl>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51,869.03</w:t>
                  </w:r>
                </w:p>
              </w:tc>
            </w:tr>
          </w:tbl>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购房补贴</w:t>
            </w:r>
          </w:p>
        </w:tc>
        <w:tc>
          <w:tcPr>
            <w:tcW w:w="193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18,002.40</w:t>
                  </w:r>
                </w:p>
              </w:tc>
            </w:tr>
          </w:tbl>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18,002.40</w:t>
                  </w:r>
                </w:p>
              </w:tc>
            </w:tr>
          </w:tbl>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685"/>
        <w:gridCol w:w="3144"/>
        <w:gridCol w:w="518"/>
        <w:gridCol w:w="1657"/>
        <w:gridCol w:w="1458"/>
        <w:gridCol w:w="1109"/>
        <w:gridCol w:w="153"/>
        <w:gridCol w:w="1567"/>
      </w:tblGrid>
      <w:tr>
        <w:tblPrEx>
          <w:tblCellMar>
            <w:top w:w="0" w:type="dxa"/>
            <w:left w:w="108" w:type="dxa"/>
            <w:bottom w:w="0" w:type="dxa"/>
            <w:right w:w="108" w:type="dxa"/>
          </w:tblCellMar>
        </w:tblPrEx>
        <w:trPr>
          <w:trHeight w:val="549" w:hRule="atLeast"/>
        </w:trPr>
        <w:tc>
          <w:tcPr>
            <w:tcW w:w="14820" w:type="dxa"/>
            <w:gridSpan w:val="10"/>
            <w:tcBorders>
              <w:top w:val="nil"/>
              <w:left w:val="nil"/>
              <w:bottom w:val="nil"/>
              <w:right w:val="nil"/>
            </w:tcBorders>
            <w:vAlign w:val="bottom"/>
          </w:tcPr>
          <w:p>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tblPrEx>
          <w:tblCellMar>
            <w:top w:w="0" w:type="dxa"/>
            <w:left w:w="108" w:type="dxa"/>
            <w:bottom w:w="0" w:type="dxa"/>
            <w:right w:w="108" w:type="dxa"/>
          </w:tblCellMar>
        </w:tblPrEx>
        <w:trPr>
          <w:trHeight w:val="480"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银川市金凤区工业信息化和科学技术局</w:t>
            </w:r>
          </w:p>
        </w:tc>
        <w:tc>
          <w:tcPr>
            <w:tcW w:w="518" w:type="dxa"/>
            <w:tcBorders>
              <w:top w:val="nil"/>
              <w:left w:val="nil"/>
              <w:bottom w:val="nil"/>
              <w:right w:val="nil"/>
            </w:tcBorders>
            <w:vAlign w:val="bottom"/>
          </w:tcPr>
          <w:p>
            <w:pPr>
              <w:rPr>
                <w:color w:val="000000"/>
                <w:kern w:val="0"/>
                <w:sz w:val="18"/>
                <w:szCs w:val="18"/>
              </w:rPr>
            </w:pPr>
          </w:p>
        </w:tc>
        <w:tc>
          <w:tcPr>
            <w:tcW w:w="1657" w:type="dxa"/>
            <w:tcBorders>
              <w:top w:val="nil"/>
              <w:left w:val="nil"/>
              <w:bottom w:val="nil"/>
              <w:right w:val="nil"/>
            </w:tcBorders>
            <w:vAlign w:val="bottom"/>
          </w:tcPr>
          <w:p/>
        </w:tc>
        <w:tc>
          <w:tcPr>
            <w:tcW w:w="1458" w:type="dxa"/>
            <w:tcBorders>
              <w:top w:val="nil"/>
              <w:left w:val="nil"/>
              <w:bottom w:val="nil"/>
              <w:right w:val="nil"/>
            </w:tcBorders>
            <w:vAlign w:val="bottom"/>
          </w:tcPr>
          <w:p>
            <w:pPr>
              <w:jc w:val="center"/>
              <w:rPr>
                <w:color w:val="000000"/>
                <w:kern w:val="0"/>
                <w:sz w:val="18"/>
                <w:szCs w:val="18"/>
              </w:rPr>
            </w:pPr>
          </w:p>
        </w:tc>
        <w:tc>
          <w:tcPr>
            <w:tcW w:w="1109" w:type="dxa"/>
            <w:tcBorders>
              <w:top w:val="nil"/>
              <w:left w:val="nil"/>
              <w:bottom w:val="nil"/>
              <w:right w:val="nil"/>
            </w:tcBorders>
            <w:vAlign w:val="bottom"/>
          </w:tcPr>
          <w:p>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56" w:hRule="exact"/>
        </w:trPr>
        <w:tc>
          <w:tcPr>
            <w:tcW w:w="521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606"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685"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144"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685"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144"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65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45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262"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685"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jc w:val="center"/>
              <w:rPr>
                <w:sz w:val="16"/>
                <w:szCs w:val="16"/>
              </w:rPr>
            </w:pPr>
          </w:p>
        </w:tc>
        <w:tc>
          <w:tcPr>
            <w:tcW w:w="1657"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58"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262"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246"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685" w:type="dxa"/>
            <w:tcBorders>
              <w:top w:val="nil"/>
              <w:left w:val="single" w:color="000000" w:sz="8" w:space="0"/>
              <w:bottom w:val="single" w:color="000000" w:sz="4" w:space="0"/>
              <w:right w:val="single" w:color="000000" w:sz="4" w:space="0"/>
            </w:tcBorders>
            <w:shd w:val="clear" w:color="auto" w:fill="auto"/>
            <w:vAlign w:val="center"/>
          </w:tcPr>
          <w:tbl>
            <w:tblPr>
              <w:tblStyle w:val="10"/>
              <w:tblW w:w="1831" w:type="dxa"/>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20,119,876.96</w:t>
                  </w:r>
                </w:p>
              </w:tc>
            </w:tr>
          </w:tbl>
          <w:p>
            <w:pPr>
              <w:widowControl/>
              <w:jc w:val="center"/>
              <w:textAlignment w:val="center"/>
              <w:rPr>
                <w:sz w:val="20"/>
                <w:szCs w:val="20"/>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22"/>
                <w:szCs w:val="22"/>
                <w:u w:val="none"/>
                <w:lang w:val="en-US" w:eastAsia="zh-CN" w:bidi="ar"/>
              </w:rPr>
              <w:t>0.00</w:t>
            </w: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22"/>
                <w:szCs w:val="22"/>
                <w:u w:val="none"/>
                <w:lang w:val="en-US" w:eastAsia="zh-CN" w:bidi="ar"/>
              </w:rPr>
              <w:t>0.00</w:t>
            </w: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657" w:type="dxa"/>
            <w:tcBorders>
              <w:top w:val="nil"/>
              <w:left w:val="nil"/>
              <w:bottom w:val="single" w:color="000000" w:sz="4" w:space="0"/>
              <w:right w:val="single" w:color="000000" w:sz="4" w:space="0"/>
            </w:tcBorders>
            <w:shd w:val="clear" w:color="auto" w:fill="auto"/>
            <w:vAlign w:val="center"/>
          </w:tcPr>
          <w:tbl>
            <w:tblPr>
              <w:tblStyle w:val="10"/>
              <w:tblW w:w="1809"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12,414,999.31</w:t>
                        </w:r>
                      </w:p>
                    </w:tc>
                  </w:tr>
                </w:tbl>
                <w:p>
                  <w:pPr>
                    <w:keepNext w:val="0"/>
                    <w:keepLines w:val="0"/>
                    <w:widowControl/>
                    <w:suppressLineNumbers w:val="0"/>
                    <w:jc w:val="both"/>
                    <w:textAlignment w:val="center"/>
                    <w:rPr>
                      <w:rFonts w:hint="eastAsia" w:ascii="宋体" w:hAnsi="宋体" w:eastAsia="宋体" w:cs="宋体"/>
                      <w:i w:val="0"/>
                      <w:color w:val="000000"/>
                      <w:sz w:val="21"/>
                      <w:szCs w:val="21"/>
                      <w:u w:val="none"/>
                    </w:rPr>
                  </w:pPr>
                </w:p>
              </w:tc>
            </w:tr>
          </w:tbl>
          <w:p>
            <w:pPr>
              <w:widowControl/>
              <w:jc w:val="center"/>
              <w:textAlignment w:val="center"/>
              <w:rPr>
                <w:sz w:val="21"/>
                <w:szCs w:val="21"/>
              </w:rPr>
            </w:pPr>
          </w:p>
        </w:tc>
        <w:tc>
          <w:tcPr>
            <w:tcW w:w="1458" w:type="dxa"/>
            <w:tcBorders>
              <w:top w:val="nil"/>
              <w:left w:val="nil"/>
              <w:bottom w:val="single" w:color="000000" w:sz="4" w:space="0"/>
              <w:right w:val="single" w:color="000000" w:sz="4" w:space="0"/>
            </w:tcBorders>
            <w:shd w:val="clear" w:color="auto" w:fill="auto"/>
            <w:vAlign w:val="center"/>
          </w:tcPr>
          <w:tbl>
            <w:tblPr>
              <w:tblStyle w:val="10"/>
              <w:tblW w:w="1809"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764"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12,414,999.31</w:t>
                        </w:r>
                      </w:p>
                    </w:tc>
                  </w:tr>
                </w:tbl>
                <w:p>
                  <w:pPr>
                    <w:keepNext w:val="0"/>
                    <w:keepLines w:val="0"/>
                    <w:widowControl/>
                    <w:suppressLineNumbers w:val="0"/>
                    <w:jc w:val="both"/>
                    <w:textAlignment w:val="center"/>
                    <w:rPr>
                      <w:rFonts w:hint="eastAsia" w:ascii="宋体" w:hAnsi="宋体" w:eastAsia="宋体" w:cs="宋体"/>
                      <w:i w:val="0"/>
                      <w:color w:val="000000"/>
                      <w:sz w:val="21"/>
                      <w:szCs w:val="21"/>
                      <w:u w:val="none"/>
                    </w:rPr>
                  </w:pPr>
                </w:p>
              </w:tc>
            </w:tr>
          </w:tbl>
          <w:p>
            <w:pPr>
              <w:widowControl/>
              <w:jc w:val="center"/>
              <w:textAlignment w:val="center"/>
              <w:rPr>
                <w:color w:val="000000"/>
                <w:kern w:val="0"/>
                <w:sz w:val="21"/>
                <w:szCs w:val="21"/>
              </w:rPr>
            </w:pP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657" w:type="dxa"/>
            <w:tcBorders>
              <w:top w:val="nil"/>
              <w:left w:val="nil"/>
              <w:bottom w:val="single" w:color="000000" w:sz="4" w:space="0"/>
              <w:right w:val="single" w:color="000000" w:sz="4" w:space="0"/>
            </w:tcBorders>
            <w:shd w:val="clear" w:color="auto" w:fill="auto"/>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bl>
          <w:p>
            <w:pPr>
              <w:widowControl/>
              <w:jc w:val="center"/>
              <w:textAlignment w:val="center"/>
              <w:rPr>
                <w:sz w:val="21"/>
                <w:szCs w:val="21"/>
              </w:rPr>
            </w:pPr>
          </w:p>
        </w:tc>
        <w:tc>
          <w:tcPr>
            <w:tcW w:w="1458" w:type="dxa"/>
            <w:tcBorders>
              <w:top w:val="nil"/>
              <w:left w:val="nil"/>
              <w:bottom w:val="single" w:color="000000" w:sz="4" w:space="0"/>
              <w:right w:val="single" w:color="000000" w:sz="4" w:space="0"/>
            </w:tcBorders>
            <w:shd w:val="clear" w:color="auto" w:fill="auto"/>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bl>
          <w:p>
            <w:pPr>
              <w:widowControl/>
              <w:jc w:val="center"/>
              <w:textAlignment w:val="center"/>
              <w:rPr>
                <w:color w:val="000000"/>
                <w:kern w:val="0"/>
                <w:sz w:val="21"/>
                <w:szCs w:val="21"/>
              </w:rPr>
            </w:pP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389,607.54</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389,607.54</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21"/>
                <w:szCs w:val="21"/>
              </w:rPr>
            </w:pPr>
            <w:r>
              <w:rPr>
                <w:rFonts w:hint="eastAsia" w:ascii="宋体" w:hAnsi="宋体" w:eastAsia="宋体" w:cs="宋体"/>
                <w:i w:val="0"/>
                <w:color w:val="000000"/>
                <w:kern w:val="0"/>
                <w:sz w:val="21"/>
                <w:szCs w:val="21"/>
                <w:u w:val="none"/>
                <w:lang w:val="en-US" w:eastAsia="zh-CN" w:bidi="ar"/>
              </w:rPr>
              <w:t>106,318.71</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106,318.71</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21"/>
                <w:szCs w:val="21"/>
              </w:rPr>
            </w:pPr>
            <w:r>
              <w:rPr>
                <w:rFonts w:hint="eastAsia" w:ascii="宋体" w:hAnsi="宋体" w:eastAsia="宋体" w:cs="宋体"/>
                <w:i w:val="0"/>
                <w:color w:val="000000"/>
                <w:kern w:val="0"/>
                <w:sz w:val="21"/>
                <w:szCs w:val="21"/>
                <w:u w:val="none"/>
                <w:lang w:val="en-US" w:eastAsia="zh-CN" w:bidi="ar"/>
              </w:rPr>
              <w:t>906,700.00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906,700.00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21"/>
                <w:szCs w:val="21"/>
              </w:rPr>
            </w:pPr>
            <w:r>
              <w:rPr>
                <w:rFonts w:hint="eastAsia" w:ascii="宋体" w:hAnsi="宋体" w:eastAsia="宋体" w:cs="宋体"/>
                <w:i w:val="0"/>
                <w:color w:val="000000"/>
                <w:kern w:val="0"/>
                <w:sz w:val="21"/>
                <w:szCs w:val="21"/>
                <w:u w:val="none"/>
                <w:lang w:val="en-US" w:eastAsia="zh-CN" w:bidi="ar"/>
              </w:rPr>
              <w:t>23,860.00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23,860.00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685" w:type="dxa"/>
            <w:tcBorders>
              <w:top w:val="nil"/>
              <w:left w:val="single" w:color="000000" w:sz="8" w:space="0"/>
              <w:bottom w:val="single" w:color="auto"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65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14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14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6,141,705.00</w:t>
                  </w:r>
                </w:p>
              </w:tc>
            </w:tr>
          </w:tbl>
          <w:p>
            <w:pPr>
              <w:widowControl/>
              <w:jc w:val="right"/>
              <w:textAlignment w:val="center"/>
              <w:rPr>
                <w:sz w:val="21"/>
                <w:szCs w:val="21"/>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6,141,705.00</w:t>
                  </w:r>
                </w:p>
              </w:tc>
            </w:tr>
          </w:tbl>
          <w:p>
            <w:pPr>
              <w:widowControl/>
              <w:jc w:val="right"/>
              <w:textAlignment w:val="center"/>
              <w:rPr>
                <w:color w:val="000000"/>
                <w:kern w:val="0"/>
                <w:sz w:val="21"/>
                <w:szCs w:val="21"/>
              </w:rPr>
            </w:pP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685"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65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657" w:type="dxa"/>
            <w:tcBorders>
              <w:top w:val="nil"/>
              <w:left w:val="nil"/>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136,686.40</w:t>
                  </w:r>
                </w:p>
              </w:tc>
            </w:tr>
          </w:tbl>
          <w:p>
            <w:pPr>
              <w:widowControl/>
              <w:jc w:val="right"/>
              <w:textAlignment w:val="center"/>
              <w:rPr>
                <w:sz w:val="21"/>
                <w:szCs w:val="21"/>
              </w:rPr>
            </w:pPr>
          </w:p>
        </w:tc>
        <w:tc>
          <w:tcPr>
            <w:tcW w:w="1458" w:type="dxa"/>
            <w:tcBorders>
              <w:top w:val="nil"/>
              <w:left w:val="nil"/>
              <w:bottom w:val="single" w:color="000000" w:sz="4" w:space="0"/>
              <w:right w:val="single" w:color="000000" w:sz="4" w:space="0"/>
            </w:tcBorders>
            <w:shd w:val="clear" w:color="auto" w:fill="auto"/>
            <w:vAlign w:val="center"/>
          </w:tcPr>
          <w:p>
            <w:pPr>
              <w:widowControl/>
              <w:jc w:val="both"/>
              <w:textAlignment w:val="center"/>
              <w:rPr>
                <w:rFonts w:hint="default" w:eastAsia="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136,686.40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685" w:type="dxa"/>
            <w:tcBorders>
              <w:top w:val="nil"/>
              <w:left w:val="single" w:color="000000" w:sz="8" w:space="0"/>
              <w:bottom w:val="single" w:color="000000" w:sz="4" w:space="0"/>
              <w:right w:val="single" w:color="000000" w:sz="4" w:space="0"/>
            </w:tcBorders>
            <w:shd w:val="clear" w:color="auto" w:fill="auto"/>
            <w:vAlign w:val="center"/>
          </w:tcPr>
          <w:tbl>
            <w:tblPr>
              <w:tblStyle w:val="10"/>
              <w:tblW w:w="1823"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3"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20,119,876.96</w:t>
                        </w:r>
                      </w:p>
                    </w:tc>
                  </w:tr>
                </w:tbl>
                <w:p>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r>
          </w:tbl>
          <w:p>
            <w:pPr>
              <w:jc w:val="right"/>
              <w:rPr>
                <w:sz w:val="16"/>
                <w:szCs w:val="16"/>
              </w:rPr>
            </w:pP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
                <w:bCs/>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6"/>
                <w:szCs w:val="16"/>
              </w:rPr>
            </w:pPr>
            <w:r>
              <w:rPr>
                <w:rFonts w:hint="eastAsia" w:ascii="宋体" w:hAnsi="宋体" w:eastAsia="宋体" w:cs="宋体"/>
                <w:i w:val="0"/>
                <w:color w:val="000000"/>
                <w:kern w:val="0"/>
                <w:sz w:val="22"/>
                <w:szCs w:val="22"/>
                <w:u w:val="none"/>
                <w:lang w:val="en-US" w:eastAsia="zh-CN" w:bidi="ar"/>
              </w:rPr>
              <w:t>0.00</w:t>
            </w: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6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6"/>
                <w:szCs w:val="16"/>
              </w:rPr>
            </w:pPr>
            <w:r>
              <w:rPr>
                <w:rFonts w:hint="eastAsia" w:ascii="宋体" w:hAnsi="宋体" w:eastAsia="宋体" w:cs="宋体"/>
                <w:i w:val="0"/>
                <w:color w:val="000000"/>
                <w:kern w:val="0"/>
                <w:sz w:val="22"/>
                <w:szCs w:val="22"/>
                <w:u w:val="none"/>
                <w:lang w:val="en-US" w:eastAsia="zh-CN" w:bidi="ar"/>
              </w:rPr>
              <w:t>0.00</w:t>
            </w:r>
          </w:p>
        </w:tc>
        <w:tc>
          <w:tcPr>
            <w:tcW w:w="3144"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4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685"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sz w:val="18"/>
                <w:szCs w:val="21"/>
              </w:rPr>
            </w:pPr>
            <w:r>
              <w:rPr>
                <w:rFonts w:hint="eastAsia" w:ascii="宋体" w:hAnsi="宋体" w:eastAsia="宋体" w:cs="宋体"/>
                <w:i w:val="0"/>
                <w:color w:val="000000"/>
                <w:kern w:val="0"/>
                <w:sz w:val="22"/>
                <w:szCs w:val="22"/>
                <w:u w:val="none"/>
                <w:lang w:val="en-US" w:eastAsia="zh-CN" w:bidi="ar"/>
              </w:rPr>
              <w:t>0.00</w:t>
            </w:r>
          </w:p>
        </w:tc>
        <w:tc>
          <w:tcPr>
            <w:tcW w:w="3144" w:type="dxa"/>
            <w:tcBorders>
              <w:top w:val="nil"/>
              <w:left w:val="nil"/>
              <w:bottom w:val="single" w:color="auto"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657" w:type="dxa"/>
            <w:tcBorders>
              <w:top w:val="nil"/>
              <w:left w:val="nil"/>
              <w:bottom w:val="single" w:color="auto"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20,119,876.96</w:t>
                  </w:r>
                </w:p>
              </w:tc>
            </w:tr>
          </w:tbl>
          <w:p>
            <w:pPr>
              <w:widowControl/>
              <w:jc w:val="right"/>
              <w:textAlignment w:val="center"/>
              <w:rPr>
                <w:sz w:val="21"/>
                <w:szCs w:val="21"/>
              </w:rPr>
            </w:pPr>
          </w:p>
        </w:tc>
        <w:tc>
          <w:tcPr>
            <w:tcW w:w="1458" w:type="dxa"/>
            <w:tcBorders>
              <w:top w:val="nil"/>
              <w:left w:val="nil"/>
              <w:bottom w:val="single" w:color="auto" w:sz="4" w:space="0"/>
              <w:right w:val="single" w:color="000000" w:sz="4" w:space="0"/>
            </w:tcBorders>
            <w:shd w:val="clear" w:color="auto" w:fill="auto"/>
            <w:vAlign w:val="center"/>
          </w:tcPr>
          <w:tbl>
            <w:tblPr>
              <w:tblStyle w:val="10"/>
              <w:tblW w:w="174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20,119,876.96</w:t>
                  </w:r>
                </w:p>
              </w:tc>
            </w:tr>
          </w:tbl>
          <w:p>
            <w:pPr>
              <w:widowControl/>
              <w:jc w:val="right"/>
              <w:textAlignment w:val="center"/>
              <w:rPr>
                <w:color w:val="000000"/>
                <w:kern w:val="0"/>
                <w:sz w:val="21"/>
                <w:szCs w:val="21"/>
              </w:rPr>
            </w:pPr>
          </w:p>
        </w:tc>
        <w:tc>
          <w:tcPr>
            <w:tcW w:w="126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sz w:val="18"/>
                <w:szCs w:val="21"/>
              </w:rPr>
            </w:pPr>
            <w:r>
              <w:rPr>
                <w:rFonts w:hint="eastAsia" w:ascii="宋体" w:hAnsi="宋体" w:eastAsia="宋体" w:cs="宋体"/>
                <w:i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5"/>
                <w:szCs w:val="15"/>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685"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144"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65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45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6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65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20,119,876.96</w:t>
                        </w:r>
                      </w:p>
                    </w:tc>
                  </w:tr>
                </w:tbl>
                <w:p>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r>
          </w:tbl>
          <w:p>
            <w:pPr>
              <w:widowControl/>
              <w:jc w:val="right"/>
              <w:textAlignment w:val="center"/>
              <w:rPr>
                <w:sz w:val="18"/>
                <w:szCs w:val="21"/>
              </w:rPr>
            </w:pPr>
          </w:p>
        </w:tc>
        <w:tc>
          <w:tcPr>
            <w:tcW w:w="314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20,119,876.96</w:t>
                  </w:r>
                </w:p>
              </w:tc>
            </w:tr>
          </w:tbl>
          <w:p>
            <w:pPr>
              <w:widowControl/>
              <w:jc w:val="right"/>
              <w:textAlignment w:val="center"/>
              <w:rPr>
                <w:sz w:val="21"/>
                <w:szCs w:val="21"/>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683"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20,119,876.96</w:t>
                  </w:r>
                </w:p>
              </w:tc>
            </w:tr>
          </w:tbl>
          <w:p>
            <w:pPr>
              <w:widowControl/>
              <w:jc w:val="right"/>
              <w:textAlignment w:val="center"/>
              <w:rPr>
                <w:b/>
                <w:bCs/>
                <w:color w:val="000000"/>
                <w:kern w:val="0"/>
                <w:sz w:val="21"/>
                <w:szCs w:val="21"/>
              </w:rPr>
            </w:pP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18"/>
                <w:szCs w:val="21"/>
              </w:rPr>
            </w:pPr>
            <w:r>
              <w:rPr>
                <w:rFonts w:hint="eastAsia" w:ascii="宋体" w:hAnsi="宋体" w:eastAsia="宋体" w:cs="宋体"/>
                <w:i w:val="0"/>
                <w:color w:val="000000"/>
                <w:kern w:val="0"/>
                <w:sz w:val="22"/>
                <w:szCs w:val="22"/>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kern w:val="0"/>
                <w:sz w:val="15"/>
                <w:szCs w:val="15"/>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tbl>
      <w:tblPr>
        <w:tblStyle w:val="10"/>
        <w:tblpPr w:leftFromText="180" w:rightFromText="180" w:vertAnchor="text" w:horzAnchor="page" w:tblpX="833" w:tblpY="569"/>
        <w:tblOverlap w:val="never"/>
        <w:tblW w:w="27421"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gridCol w:w="3059"/>
        <w:gridCol w:w="3059"/>
        <w:gridCol w:w="3059"/>
        <w:gridCol w:w="3059"/>
      </w:tblGrid>
      <w:tr>
        <w:tblPrEx>
          <w:tblCellMar>
            <w:top w:w="0" w:type="dxa"/>
            <w:left w:w="108" w:type="dxa"/>
            <w:bottom w:w="0" w:type="dxa"/>
            <w:right w:w="108" w:type="dxa"/>
          </w:tblCellMar>
        </w:tblPrEx>
        <w:trPr>
          <w:gridAfter w:val="4"/>
          <w:wAfter w:w="12236" w:type="dxa"/>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CellMar>
            <w:top w:w="0" w:type="dxa"/>
            <w:left w:w="108" w:type="dxa"/>
            <w:bottom w:w="0" w:type="dxa"/>
            <w:right w:w="108" w:type="dxa"/>
          </w:tblCellMar>
        </w:tblPrEx>
        <w:trPr>
          <w:gridAfter w:val="4"/>
          <w:wAfter w:w="12236" w:type="dxa"/>
          <w:trHeight w:val="557"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gridAfter w:val="4"/>
          <w:wAfter w:w="12236" w:type="dxa"/>
          <w:trHeight w:val="305" w:hRule="atLeast"/>
        </w:trPr>
        <w:tc>
          <w:tcPr>
            <w:tcW w:w="9146" w:type="dxa"/>
            <w:gridSpan w:val="5"/>
            <w:tcBorders>
              <w:top w:val="nil"/>
              <w:left w:val="nil"/>
              <w:bottom w:val="nil"/>
              <w:right w:val="nil"/>
            </w:tcBorders>
            <w:vAlign w:val="bottom"/>
          </w:tcPr>
          <w:p>
            <w:pPr>
              <w:widowControl/>
              <w:jc w:val="left"/>
              <w:rPr>
                <w:color w:val="000000"/>
                <w:kern w:val="0"/>
                <w:sz w:val="20"/>
              </w:rPr>
            </w:pPr>
            <w:r>
              <w:rPr>
                <w:color w:val="000000"/>
                <w:kern w:val="0"/>
                <w:sz w:val="24"/>
              </w:rPr>
              <w:t>公开部门：</w:t>
            </w:r>
            <w:r>
              <w:rPr>
                <w:rFonts w:hint="eastAsia"/>
                <w:color w:val="000000"/>
                <w:kern w:val="0"/>
                <w:sz w:val="24"/>
                <w:lang w:eastAsia="zh-CN"/>
              </w:rPr>
              <w:t>银川市金凤区工业信息化和科学技术局</w:t>
            </w: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gridAfter w:val="4"/>
          <w:wAfter w:w="12236" w:type="dxa"/>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CellMar>
            <w:top w:w="0" w:type="dxa"/>
            <w:left w:w="108" w:type="dxa"/>
            <w:bottom w:w="0" w:type="dxa"/>
            <w:right w:w="108" w:type="dxa"/>
          </w:tblCellMar>
        </w:tblPrEx>
        <w:trPr>
          <w:gridAfter w:val="4"/>
          <w:wAfter w:w="12236" w:type="dxa"/>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gridAfter w:val="4"/>
          <w:wAfter w:w="12236" w:type="dxa"/>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gridAfter w:val="4"/>
          <w:wAfter w:w="12236" w:type="dxa"/>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gridAfter w:val="4"/>
          <w:wAfter w:w="12236" w:type="dxa"/>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gridAfter w:val="4"/>
          <w:wAfter w:w="12236" w:type="dxa"/>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20,119,876.96</w:t>
            </w:r>
          </w:p>
        </w:tc>
        <w:tc>
          <w:tcPr>
            <w:tcW w:w="3059"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1,082,743.53</w:t>
                  </w:r>
                </w:p>
              </w:tc>
            </w:tr>
          </w:tbl>
          <w:p>
            <w:pPr>
              <w:keepNext w:val="0"/>
              <w:keepLines w:val="0"/>
              <w:widowControl/>
              <w:suppressLineNumbers w:val="0"/>
              <w:jc w:val="both"/>
              <w:textAlignment w:val="center"/>
              <w:rPr>
                <w:color w:val="000000"/>
                <w:kern w:val="0"/>
                <w:sz w:val="22"/>
              </w:rPr>
            </w:pP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19,037,133.43</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2060101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1,136,924.25</w:t>
            </w:r>
          </w:p>
        </w:tc>
        <w:tc>
          <w:tcPr>
            <w:tcW w:w="3059" w:type="dxa"/>
            <w:tcBorders>
              <w:top w:val="nil"/>
              <w:left w:val="nil"/>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1,136,924.25</w:t>
                  </w:r>
                </w:p>
              </w:tc>
            </w:tr>
          </w:tbl>
          <w:p>
            <w:pPr>
              <w:keepNext w:val="0"/>
              <w:keepLines w:val="0"/>
              <w:widowControl/>
              <w:suppressLineNumbers w:val="0"/>
              <w:jc w:val="center"/>
              <w:textAlignment w:val="center"/>
              <w:rPr>
                <w:color w:val="000000"/>
                <w:kern w:val="0"/>
                <w:sz w:val="22"/>
              </w:rPr>
            </w:pP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2060203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自然科学基金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140,000.00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140,000.00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2060404</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科技成果转化与扩散</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2,241,500.00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2,241,500.00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2060499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其他技术研究与开发支出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8,826,000.00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8,826,000.00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2060599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其他科技条件与服务支出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5,590.00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5,590.00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2060702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科普活动</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64,985.06</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64,985.06</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行政单位离退休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126,781.18</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125,781.18</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1,000.00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129,347.68</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76,712.00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52,635.68</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133,478.68</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38,356.00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95,122.68</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行政单位医疗</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51,632.71</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31,220.00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20,412.71</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公务员医疗补助</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54,686.00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52,872.28</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1,813.72</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2111103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减排专项支出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906,700.00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906,700.00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2120101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23,860.00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23,860.00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2150517</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产业发展</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4,641,705.00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4,641,705.00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2150805</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中小企业发展专项</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1,500,000.00</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1,500,000.00</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2210201</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住房公积金</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118,684.00</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66,814.97</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51,869.03</w:t>
            </w:r>
          </w:p>
        </w:tc>
      </w:tr>
      <w:tr>
        <w:tblPrEx>
          <w:tblCellMar>
            <w:top w:w="0" w:type="dxa"/>
            <w:left w:w="108" w:type="dxa"/>
            <w:bottom w:w="0" w:type="dxa"/>
            <w:right w:w="108" w:type="dxa"/>
          </w:tblCellMar>
        </w:tblPrEx>
        <w:trPr>
          <w:gridAfter w:val="4"/>
          <w:wAfter w:w="12236" w:type="dxa"/>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2210203</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购房补贴</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18,002.40</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18,002.40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4"/>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c>
          <w:tcPr>
            <w:tcW w:w="3059" w:type="dxa"/>
            <w:tcBorders>
              <w:top w:val="single" w:color="000000" w:sz="8" w:space="0"/>
              <w:left w:val="nil"/>
              <w:bottom w:val="nil"/>
              <w:right w:val="nil"/>
            </w:tcBorders>
            <w:vAlign w:val="bottom"/>
          </w:tcPr>
          <w:p>
            <w:pPr>
              <w:widowControl/>
              <w:jc w:val="left"/>
              <w:rPr>
                <w:rFonts w:hint="eastAsia"/>
                <w:color w:val="000000"/>
                <w:kern w:val="0"/>
                <w:sz w:val="22"/>
              </w:rPr>
            </w:pPr>
          </w:p>
        </w:tc>
        <w:tc>
          <w:tcPr>
            <w:tcW w:w="3059" w:type="dxa"/>
            <w:tcBorders>
              <w:top w:val="single" w:color="000000" w:sz="8" w:space="0"/>
              <w:left w:val="nil"/>
              <w:bottom w:val="nil"/>
              <w:right w:val="nil"/>
            </w:tcBorders>
            <w:vAlign w:val="bottom"/>
          </w:tcPr>
          <w:p>
            <w:pPr>
              <w:widowControl/>
              <w:jc w:val="left"/>
              <w:rPr>
                <w:rFonts w:hint="eastAsia"/>
                <w:color w:val="000000"/>
                <w:kern w:val="0"/>
                <w:sz w:val="22"/>
              </w:rPr>
            </w:pPr>
          </w:p>
        </w:tc>
        <w:tc>
          <w:tcPr>
            <w:tcW w:w="3059" w:type="dxa"/>
            <w:tcBorders>
              <w:top w:val="single" w:color="000000" w:sz="8" w:space="0"/>
              <w:left w:val="nil"/>
              <w:bottom w:val="nil"/>
              <w:right w:val="nil"/>
            </w:tcBorders>
            <w:vAlign w:val="bottom"/>
          </w:tcPr>
          <w:p>
            <w:pPr>
              <w:widowControl/>
              <w:jc w:val="left"/>
              <w:rPr>
                <w:rFonts w:hint="eastAsia"/>
                <w:color w:val="000000"/>
                <w:kern w:val="0"/>
                <w:sz w:val="22"/>
              </w:rPr>
            </w:pPr>
          </w:p>
        </w:tc>
        <w:tc>
          <w:tcPr>
            <w:tcW w:w="3059" w:type="dxa"/>
            <w:tcBorders>
              <w:top w:val="single" w:color="000000" w:sz="8" w:space="0"/>
              <w:left w:val="nil"/>
              <w:bottom w:val="nil"/>
              <w:right w:val="nil"/>
            </w:tcBorders>
            <w:vAlign w:val="bottom"/>
          </w:tcPr>
          <w:p>
            <w:pPr>
              <w:keepNext w:val="0"/>
              <w:keepLines w:val="0"/>
              <w:widowControl/>
              <w:suppressLineNumbers w:val="0"/>
              <w:jc w:val="center"/>
              <w:textAlignment w:val="center"/>
              <w:rPr>
                <w:rFonts w:hint="eastAsia" w:ascii="Times New Roman" w:hAnsi="Times New Roman" w:eastAsia="宋体" w:cs="Times New Roman"/>
                <w:color w:val="000000"/>
                <w:kern w:val="0"/>
                <w:sz w:val="22"/>
                <w:szCs w:val="24"/>
                <w:lang w:val="en-US" w:eastAsia="zh-CN" w:bidi="ar-SA"/>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eastAsia="黑体"/>
          <w:b/>
          <w:bCs/>
          <w:color w:val="000000"/>
          <w:kern w:val="0"/>
          <w:sz w:val="40"/>
          <w:szCs w:val="40"/>
        </w:rPr>
      </w:pP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b/>
                <w:bCs/>
                <w:color w:val="000000"/>
                <w:kern w:val="0"/>
                <w:sz w:val="24"/>
              </w:rPr>
              <w:t>一般公共预算财政拨款基本支出决算表</w:t>
            </w:r>
          </w:p>
        </w:tc>
      </w:tr>
      <w:tr>
        <w:tblPrEx>
          <w:tblCellMar>
            <w:top w:w="15" w:type="dxa"/>
            <w:left w:w="15" w:type="dxa"/>
            <w:bottom w:w="15" w:type="dxa"/>
            <w:right w:w="15" w:type="dxa"/>
          </w:tblCellMar>
        </w:tblPrEx>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CellMar>
            <w:top w:w="15" w:type="dxa"/>
            <w:left w:w="15" w:type="dxa"/>
            <w:bottom w:w="15" w:type="dxa"/>
            <w:right w:w="15" w:type="dxa"/>
          </w:tblCellMar>
        </w:tblPrEx>
        <w:trPr>
          <w:trHeight w:val="97" w:hRule="atLeast"/>
        </w:trPr>
        <w:tc>
          <w:tcPr>
            <w:tcW w:w="7398" w:type="dxa"/>
            <w:gridSpan w:val="5"/>
            <w:vAlign w:val="bottom"/>
          </w:tcPr>
          <w:p>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4"/>
                <w:lang w:eastAsia="zh-CN"/>
              </w:rPr>
              <w:t>银川市金凤区工业信息化和科学技术局</w:t>
            </w: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1,575,567.66</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88628.06</w:t>
                  </w: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294,645.88</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5,383.50</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490,407.03</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24,580.00</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71"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奖金</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75,248.00</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咨询费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1,160.00</w:t>
                  </w:r>
                </w:p>
              </w:tc>
            </w:tr>
          </w:tbl>
          <w:p>
            <w:pPr>
              <w:spacing w:line="160" w:lineRule="exact"/>
              <w:jc w:val="center"/>
              <w:rPr>
                <w:color w:val="000000"/>
                <w:sz w:val="16"/>
                <w:szCs w:val="16"/>
              </w:rPr>
            </w:pP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伙食补助费</w:t>
            </w:r>
          </w:p>
        </w:tc>
        <w:tc>
          <w:tcPr>
            <w:tcW w:w="1601" w:type="dxa"/>
            <w:tcBorders>
              <w:bottom w:val="single" w:color="000000" w:sz="4" w:space="0"/>
              <w:right w:val="single" w:color="000000" w:sz="4" w:space="0"/>
            </w:tcBorders>
            <w:shd w:val="clear" w:color="auto" w:fill="auto"/>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11,120.00</w:t>
                        </w:r>
                      </w:p>
                    </w:tc>
                  </w:tr>
                </w:tbl>
                <w:p>
                  <w:pPr>
                    <w:keepNext w:val="0"/>
                    <w:keepLines w:val="0"/>
                    <w:widowControl/>
                    <w:suppressLineNumbers w:val="0"/>
                    <w:jc w:val="right"/>
                    <w:textAlignment w:val="center"/>
                    <w:rPr>
                      <w:rFonts w:hint="eastAsia" w:ascii="宋体" w:hAnsi="宋体" w:eastAsia="宋体" w:cs="宋体"/>
                      <w:i w:val="0"/>
                      <w:color w:val="000000"/>
                      <w:sz w:val="16"/>
                      <w:szCs w:val="16"/>
                      <w:u w:val="none"/>
                    </w:rPr>
                  </w:pPr>
                </w:p>
              </w:tc>
            </w:tr>
          </w:tbl>
          <w:p>
            <w:pPr>
              <w:keepNext w:val="0"/>
              <w:keepLines w:val="0"/>
              <w:widowControl/>
              <w:suppressLineNumbers w:val="0"/>
              <w:jc w:val="center"/>
              <w:textAlignment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手续费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房屋建筑物购建</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绩效工资</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水费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办公设备购置</w:t>
            </w:r>
          </w:p>
        </w:tc>
        <w:tc>
          <w:tcPr>
            <w:tcW w:w="1654" w:type="dxa"/>
            <w:tcBorders>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1,160.00</w:t>
                  </w:r>
                </w:p>
              </w:tc>
            </w:tr>
          </w:tbl>
          <w:p>
            <w:pPr>
              <w:spacing w:line="160" w:lineRule="exact"/>
              <w:jc w:val="center"/>
              <w:rPr>
                <w:color w:val="000000"/>
                <w:sz w:val="16"/>
                <w:szCs w:val="16"/>
              </w:rPr>
            </w:pP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机关事业单位基本养老保险缴费</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129,347.68</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电费</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专用设备购置</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职业年金缴费</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133,478.68</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邮电费</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基础设施建设</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职工基本医疗保险缴费</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51,632.71</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取暖费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大型修缮</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公务员医疗补助缴费</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54,686.00</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物业管理费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信息网络及软件购置更新</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其他社会保障缴费</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2,757.84</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差旅费</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550.00</w:t>
                  </w: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物资储备</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住房公积金</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118,684.00</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因公出国（境）费用</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土地补偿</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医疗费</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7,000.00</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维修（护）费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安置补助</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其他工资福利支出</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206,559.84</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租赁费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地上附着物和青苗补偿</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128041.18</w:t>
                  </w: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会议费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拆迁补偿</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离休费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培训费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公务用车购置</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退休费</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115,781.18</w:t>
                  </w: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公务接待费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其他交通工具购置</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退职（役）费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专用材料费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文物和陈列品购置</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抚恤金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被装购置费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无形资产购置</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生活补助</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专用燃料费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其他资本性支出</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救济费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劳务费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医疗费补助</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11,000.00</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委托业务费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center"/>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国家赔偿费用支出</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助学金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工会经费</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5,659.94</w:t>
                  </w: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top"/>
          </w:tcPr>
          <w:p>
            <w:pPr>
              <w:widowControl/>
              <w:spacing w:line="160" w:lineRule="exact"/>
              <w:jc w:val="center"/>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对民间非营利组织和群众性自治组织补贴</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奖励金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福利费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center"/>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经常性赠与</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个人农业生产补贴</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公务用车运行维护费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center"/>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资本性赠与</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其他交通费用</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44790</w:t>
                  </w: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top"/>
          </w:tcPr>
          <w:p>
            <w:pPr>
              <w:widowControl/>
              <w:spacing w:line="160" w:lineRule="exact"/>
              <w:jc w:val="center"/>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其他支出</w:t>
            </w: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其他对个人和家庭的补助</w:t>
            </w:r>
          </w:p>
        </w:tc>
        <w:tc>
          <w:tcPr>
            <w:tcW w:w="1601"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1,260.00</w:t>
                  </w:r>
                </w:p>
              </w:tc>
            </w:tr>
          </w:tbl>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税金及附加费用</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center"/>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其他商品和服务支出</w:t>
            </w:r>
          </w:p>
        </w:tc>
        <w:tc>
          <w:tcPr>
            <w:tcW w:w="1692" w:type="dxa"/>
            <w:tcBorders>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3,256.21</w:t>
                  </w:r>
                </w:p>
              </w:tc>
            </w:tr>
          </w:tbl>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center"/>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p>
        </w:tc>
        <w:tc>
          <w:tcPr>
            <w:tcW w:w="549" w:type="dxa"/>
            <w:tcBorders>
              <w:bottom w:val="single" w:color="000000" w:sz="4" w:space="0"/>
              <w:right w:val="single" w:color="000000" w:sz="4" w:space="0"/>
            </w:tcBorders>
            <w:shd w:val="clear" w:color="auto" w:fill="C0C0C0"/>
            <w:vAlign w:val="center"/>
          </w:tcPr>
          <w:p>
            <w:pPr>
              <w:spacing w:line="160" w:lineRule="exact"/>
              <w:jc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spacing w:line="160" w:lineRule="exact"/>
              <w:jc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center"/>
              <w:rPr>
                <w:color w:val="000000"/>
                <w:sz w:val="16"/>
                <w:szCs w:val="16"/>
              </w:rPr>
            </w:pPr>
          </w:p>
        </w:tc>
      </w:tr>
      <w:tr>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1,703,608.84</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center"/>
              <w:rPr>
                <w:color w:val="000000"/>
                <w:sz w:val="16"/>
                <w:szCs w:val="16"/>
              </w:rPr>
            </w:pP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tbl>
            <w:tblPr>
              <w:tblStyle w:val="10"/>
              <w:tblW w:w="15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89,788.06</w:t>
                        </w:r>
                      </w:p>
                    </w:tc>
                  </w:tr>
                </w:tbl>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bl>
          <w:p>
            <w:pPr>
              <w:spacing w:line="160" w:lineRule="exact"/>
              <w:jc w:val="both"/>
              <w:rPr>
                <w:color w:val="000000"/>
                <w:sz w:val="16"/>
                <w:szCs w:val="16"/>
              </w:rPr>
            </w:pPr>
          </w:p>
        </w:tc>
      </w:tr>
      <w:tr>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308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bl>
                  <w:tblPr>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1,793,396.90</w:t>
                        </w:r>
                      </w:p>
                    </w:tc>
                  </w:tr>
                </w:tbl>
                <w:p>
                  <w:pPr>
                    <w:keepNext w:val="0"/>
                    <w:keepLines w:val="0"/>
                    <w:widowControl/>
                    <w:suppressLineNumbers w:val="0"/>
                    <w:jc w:val="right"/>
                    <w:textAlignment w:val="center"/>
                    <w:rPr>
                      <w:rFonts w:hint="eastAsia" w:ascii="宋体" w:hAnsi="宋体" w:eastAsia="宋体" w:cs="宋体"/>
                      <w:i w:val="0"/>
                      <w:color w:val="000000"/>
                      <w:sz w:val="16"/>
                      <w:szCs w:val="16"/>
                      <w:u w:val="none"/>
                    </w:rPr>
                  </w:pPr>
                </w:p>
              </w:tc>
              <w:tc>
                <w:tcPr>
                  <w:tcW w:w="15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r>
          </w:tbl>
          <w:p>
            <w:pPr>
              <w:spacing w:line="160" w:lineRule="exact"/>
              <w:jc w:val="center"/>
              <w:rPr>
                <w:color w:val="000000"/>
                <w:sz w:val="16"/>
                <w:szCs w:val="16"/>
              </w:rPr>
            </w:pPr>
          </w:p>
        </w:tc>
      </w:tr>
      <w:tr>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160" w:lineRule="exact"/>
              <w:jc w:val="center"/>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center"/>
              <w:rPr>
                <w:color w:val="000000"/>
                <w:sz w:val="16"/>
                <w:szCs w:val="16"/>
              </w:rPr>
            </w:pPr>
          </w:p>
        </w:tc>
      </w:tr>
    </w:tbl>
    <w:p>
      <w:pPr>
        <w:widowControl/>
        <w:jc w:val="center"/>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eastAsia="zh-CN"/>
              </w:rPr>
              <w:t>银川市金凤区工业信息化和科学技术局</w:t>
            </w: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度决算数</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7"/>
                <w:rFonts w:hint="eastAsia"/>
                <w:lang w:eastAsia="zh-CN"/>
              </w:rPr>
              <w:t>2024年</w:t>
            </w:r>
            <w:r>
              <w:rPr>
                <w:rFonts w:hint="eastAsia" w:ascii="宋体" w:hAnsi="宋体" w:cs="宋体"/>
                <w:color w:val="000000"/>
                <w:kern w:val="0"/>
                <w:sz w:val="20"/>
                <w:szCs w:val="20"/>
              </w:rPr>
              <w:t>度预算数为</w:t>
            </w:r>
            <w:r>
              <w:rPr>
                <w:rStyle w:val="27"/>
              </w:rPr>
              <w:t>“</w:t>
            </w:r>
            <w:r>
              <w:rPr>
                <w:rFonts w:hint="eastAsia" w:ascii="宋体" w:hAnsi="宋体" w:cs="宋体"/>
                <w:color w:val="000000"/>
                <w:kern w:val="0"/>
                <w:sz w:val="20"/>
                <w:szCs w:val="20"/>
              </w:rPr>
              <w:t>三公</w:t>
            </w:r>
            <w:r>
              <w:rPr>
                <w:rStyle w:val="27"/>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7"/>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银川市金凤区工业信息化和科学技术局</w:t>
            </w:r>
          </w:p>
        </w:tc>
        <w:tc>
          <w:tcPr>
            <w:tcW w:w="19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无</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tbl>
      <w:tblPr>
        <w:tblStyle w:val="10"/>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0"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5" w:hRule="atLeast"/>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9143" w:type="dxa"/>
            <w:gridSpan w:val="5"/>
            <w:vAlign w:val="bottom"/>
          </w:tcPr>
          <w:p>
            <w:pPr>
              <w:widowControl/>
              <w:jc w:val="left"/>
              <w:rPr>
                <w:color w:val="000000"/>
                <w:kern w:val="0"/>
                <w:sz w:val="20"/>
              </w:rPr>
            </w:pPr>
            <w:r>
              <w:rPr>
                <w:rFonts w:hint="eastAsia"/>
                <w:color w:val="000000"/>
                <w:kern w:val="0"/>
                <w:sz w:val="24"/>
              </w:rPr>
              <w:t>公开部门：</w:t>
            </w:r>
            <w:r>
              <w:rPr>
                <w:rFonts w:hint="eastAsia"/>
                <w:color w:val="000000"/>
                <w:kern w:val="0"/>
                <w:sz w:val="24"/>
                <w:lang w:eastAsia="zh-CN"/>
              </w:rPr>
              <w:t>银川市金凤区工业信息化和科学技术局</w:t>
            </w: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无</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0.00</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0.00</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
      <w:pPr>
        <w:sectPr>
          <w:pgSz w:w="16838" w:h="11906" w:orient="landscape"/>
          <w:pgMar w:top="397" w:right="624" w:bottom="0" w:left="624" w:header="0" w:footer="0" w:gutter="0"/>
          <w:pgNumType w:fmt="decimal"/>
          <w:cols w:space="0" w:num="1"/>
          <w:docGrid w:type="linesAndChars" w:linePitch="321" w:charSpace="0"/>
        </w:sectPr>
      </w:pPr>
    </w:p>
    <w:p>
      <w:pPr>
        <w:keepNext w:val="0"/>
        <w:keepLines w:val="0"/>
        <w:pageBreakBefore w:val="0"/>
        <w:widowControl/>
        <w:kinsoku/>
        <w:wordWrap/>
        <w:overflowPunct/>
        <w:topLinePunct w:val="0"/>
        <w:bidi w:val="0"/>
        <w:spacing w:line="560" w:lineRule="exact"/>
        <w:jc w:val="both"/>
        <w:textAlignment w:val="auto"/>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2024年</w:t>
      </w:r>
      <w:r>
        <w:rPr>
          <w:rFonts w:ascii="方正小标宋简体" w:eastAsia="方正小标宋简体"/>
          <w:kern w:val="0"/>
          <w:sz w:val="44"/>
          <w:szCs w:val="44"/>
        </w:rPr>
        <w:t>度部门决算情况说明</w:t>
      </w:r>
    </w:p>
    <w:p>
      <w:pPr>
        <w:keepNext w:val="0"/>
        <w:keepLines w:val="0"/>
        <w:pageBreakBefore w:val="0"/>
        <w:kinsoku/>
        <w:wordWrap/>
        <w:overflowPunct/>
        <w:topLinePunct w:val="0"/>
        <w:bidi w:val="0"/>
        <w:spacing w:line="560" w:lineRule="exact"/>
        <w:textAlignment w:val="auto"/>
        <w:outlineLvl w:val="1"/>
        <w:rPr>
          <w:rFonts w:eastAsia="仿宋_GB2312"/>
          <w:kern w:val="0"/>
          <w:sz w:val="32"/>
          <w:szCs w:val="32"/>
        </w:rPr>
      </w:pP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一、收入支出决算总体情况说明</w:t>
      </w:r>
    </w:p>
    <w:p>
      <w:pPr>
        <w:keepNext w:val="0"/>
        <w:keepLines w:val="0"/>
        <w:pageBreakBefore w:val="0"/>
        <w:kinsoku/>
        <w:wordWrap/>
        <w:overflowPunct/>
        <w:topLinePunct w:val="0"/>
        <w:bidi w:val="0"/>
        <w:snapToGrid/>
        <w:spacing w:line="560" w:lineRule="exact"/>
        <w:ind w:firstLine="537" w:firstLineChars="168"/>
        <w:textAlignment w:val="auto"/>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度收入总计</w:t>
      </w:r>
      <w:r>
        <w:rPr>
          <w:rFonts w:hint="eastAsia" w:eastAsia="仿宋_GB2312"/>
          <w:kern w:val="0"/>
          <w:sz w:val="32"/>
          <w:szCs w:val="32"/>
          <w:lang w:val="en-US" w:eastAsia="zh-CN"/>
        </w:rPr>
        <w:t>20269455.84</w:t>
      </w:r>
      <w:r>
        <w:rPr>
          <w:rFonts w:hint="eastAsia" w:eastAsia="仿宋_GB2312"/>
          <w:kern w:val="0"/>
          <w:sz w:val="32"/>
          <w:szCs w:val="32"/>
          <w:lang w:eastAsia="zh-CN"/>
        </w:rPr>
        <w:t>元，支出总计</w:t>
      </w:r>
      <w:r>
        <w:rPr>
          <w:rFonts w:hint="eastAsia" w:eastAsia="仿宋_GB2312"/>
          <w:kern w:val="0"/>
          <w:sz w:val="32"/>
          <w:szCs w:val="32"/>
          <w:lang w:val="en-US" w:eastAsia="zh-CN"/>
        </w:rPr>
        <w:t>20276594.44</w:t>
      </w:r>
      <w:r>
        <w:rPr>
          <w:rFonts w:hint="eastAsia" w:eastAsia="仿宋_GB2312"/>
          <w:kern w:val="0"/>
          <w:sz w:val="32"/>
          <w:szCs w:val="32"/>
          <w:lang w:eastAsia="zh-CN"/>
        </w:rPr>
        <w:t>元。与上年相比，收</w:t>
      </w:r>
      <w:r>
        <w:rPr>
          <w:rFonts w:hint="eastAsia" w:eastAsia="仿宋_GB2312"/>
          <w:kern w:val="0"/>
          <w:sz w:val="32"/>
          <w:szCs w:val="32"/>
          <w:lang w:val="en-US" w:eastAsia="zh-CN"/>
        </w:rPr>
        <w:t>入</w:t>
      </w:r>
      <w:r>
        <w:rPr>
          <w:rFonts w:hint="eastAsia" w:eastAsia="仿宋_GB2312"/>
          <w:kern w:val="0"/>
          <w:sz w:val="32"/>
          <w:szCs w:val="32"/>
          <w:lang w:eastAsia="zh-CN"/>
        </w:rPr>
        <w:t>减少</w:t>
      </w:r>
      <w:r>
        <w:rPr>
          <w:rFonts w:hint="eastAsia" w:eastAsia="仿宋_GB2312"/>
          <w:kern w:val="0"/>
          <w:sz w:val="32"/>
          <w:szCs w:val="32"/>
          <w:lang w:val="en-US" w:eastAsia="zh-CN"/>
        </w:rPr>
        <w:t>5642821.91</w:t>
      </w:r>
      <w:r>
        <w:rPr>
          <w:rFonts w:hint="eastAsia" w:eastAsia="仿宋_GB2312"/>
          <w:kern w:val="0"/>
          <w:sz w:val="32"/>
          <w:szCs w:val="32"/>
          <w:lang w:eastAsia="zh-CN"/>
        </w:rPr>
        <w:t>元，下降</w:t>
      </w:r>
      <w:r>
        <w:rPr>
          <w:rFonts w:hint="eastAsia" w:eastAsia="仿宋_GB2312"/>
          <w:kern w:val="0"/>
          <w:sz w:val="32"/>
          <w:szCs w:val="32"/>
          <w:lang w:val="en-US" w:eastAsia="zh-CN"/>
        </w:rPr>
        <w:t>27.84</w:t>
      </w:r>
      <w:r>
        <w:rPr>
          <w:rFonts w:hint="eastAsia" w:eastAsia="仿宋_GB2312"/>
          <w:kern w:val="0"/>
          <w:sz w:val="32"/>
          <w:szCs w:val="32"/>
          <w:lang w:eastAsia="zh-CN"/>
        </w:rPr>
        <w:t>%，主要原因是自治区专项资金减少。</w:t>
      </w:r>
      <w:r>
        <w:rPr>
          <w:rFonts w:hint="eastAsia" w:eastAsia="仿宋_GB2312"/>
          <w:kern w:val="0"/>
          <w:sz w:val="32"/>
          <w:szCs w:val="32"/>
          <w:lang w:val="en-US" w:eastAsia="zh-CN"/>
        </w:rPr>
        <w:t>支出</w:t>
      </w:r>
      <w:r>
        <w:rPr>
          <w:rFonts w:hint="eastAsia" w:eastAsia="仿宋_GB2312"/>
          <w:kern w:val="0"/>
          <w:sz w:val="32"/>
          <w:szCs w:val="32"/>
          <w:lang w:eastAsia="zh-CN"/>
        </w:rPr>
        <w:t>减少</w:t>
      </w:r>
      <w:r>
        <w:rPr>
          <w:rFonts w:hint="eastAsia" w:eastAsia="仿宋_GB2312"/>
          <w:kern w:val="0"/>
          <w:sz w:val="32"/>
          <w:szCs w:val="32"/>
          <w:lang w:val="en-US" w:eastAsia="zh-CN"/>
        </w:rPr>
        <w:t>5686622.48</w:t>
      </w:r>
      <w:r>
        <w:rPr>
          <w:rFonts w:hint="eastAsia" w:eastAsia="仿宋_GB2312"/>
          <w:kern w:val="0"/>
          <w:sz w:val="32"/>
          <w:szCs w:val="32"/>
          <w:lang w:eastAsia="zh-CN"/>
        </w:rPr>
        <w:t>元，下降</w:t>
      </w:r>
      <w:r>
        <w:rPr>
          <w:rFonts w:hint="eastAsia" w:eastAsia="仿宋_GB2312"/>
          <w:kern w:val="0"/>
          <w:sz w:val="32"/>
          <w:szCs w:val="32"/>
          <w:lang w:val="en-US" w:eastAsia="zh-CN"/>
        </w:rPr>
        <w:t>28.04</w:t>
      </w:r>
      <w:r>
        <w:rPr>
          <w:rFonts w:eastAsia="仿宋_GB2312"/>
          <w:kern w:val="0"/>
          <w:sz w:val="32"/>
          <w:szCs w:val="32"/>
        </w:rPr>
        <w:t>%，主要原因是</w:t>
      </w:r>
      <w:r>
        <w:rPr>
          <w:rFonts w:hint="eastAsia" w:ascii="仿宋" w:hAnsi="仿宋" w:eastAsia="仿宋" w:cs="仿宋"/>
          <w:sz w:val="32"/>
          <w:szCs w:val="32"/>
          <w:lang w:eastAsia="zh-CN"/>
        </w:rPr>
        <w:t>自治区专项资金减少</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二、收入决算情况说明</w:t>
      </w:r>
    </w:p>
    <w:p>
      <w:pPr>
        <w:keepNext w:val="0"/>
        <w:keepLines w:val="0"/>
        <w:pageBreakBefore w:val="0"/>
        <w:kinsoku/>
        <w:wordWrap/>
        <w:overflowPunct/>
        <w:topLinePunct w:val="0"/>
        <w:bidi w:val="0"/>
        <w:snapToGrid/>
        <w:spacing w:line="560" w:lineRule="exact"/>
        <w:ind w:firstLine="537" w:firstLineChars="168"/>
        <w:textAlignment w:val="auto"/>
        <w:outlineLvl w:val="1"/>
        <w:rPr>
          <w:rFonts w:eastAsia="仿宋_GB2312"/>
          <w:sz w:val="32"/>
          <w:szCs w:val="32"/>
        </w:rPr>
      </w:pPr>
      <w:r>
        <w:rPr>
          <w:rFonts w:hint="eastAsia" w:eastAsia="仿宋_GB2312"/>
          <w:kern w:val="0"/>
          <w:sz w:val="32"/>
          <w:szCs w:val="32"/>
          <w:lang w:eastAsia="zh-CN"/>
        </w:rPr>
        <w:t>2024年</w:t>
      </w:r>
      <w:r>
        <w:rPr>
          <w:rFonts w:eastAsia="仿宋_GB2312"/>
          <w:kern w:val="0"/>
          <w:sz w:val="32"/>
          <w:szCs w:val="32"/>
        </w:rPr>
        <w:t>度</w:t>
      </w:r>
      <w:r>
        <w:rPr>
          <w:rFonts w:eastAsia="仿宋_GB2312"/>
          <w:sz w:val="32"/>
          <w:szCs w:val="32"/>
        </w:rPr>
        <w:t>收入</w:t>
      </w:r>
      <w:r>
        <w:rPr>
          <w:rFonts w:hint="eastAsia" w:eastAsia="仿宋_GB2312"/>
          <w:kern w:val="0"/>
          <w:sz w:val="32"/>
          <w:szCs w:val="32"/>
          <w:lang w:eastAsia="zh-CN"/>
        </w:rPr>
        <w:t>合计</w:t>
      </w:r>
      <w:r>
        <w:rPr>
          <w:rFonts w:hint="eastAsia" w:eastAsia="仿宋_GB2312"/>
          <w:kern w:val="0"/>
          <w:sz w:val="32"/>
          <w:szCs w:val="32"/>
          <w:lang w:val="en-US" w:eastAsia="zh-CN"/>
        </w:rPr>
        <w:t>20269455.84</w:t>
      </w:r>
      <w:r>
        <w:rPr>
          <w:rFonts w:hint="eastAsia" w:eastAsia="仿宋_GB2312"/>
          <w:kern w:val="0"/>
          <w:sz w:val="32"/>
          <w:szCs w:val="32"/>
          <w:lang w:eastAsia="zh-CN"/>
        </w:rPr>
        <w:t>元</w:t>
      </w:r>
      <w:r>
        <w:rPr>
          <w:rFonts w:eastAsia="仿宋_GB2312"/>
          <w:sz w:val="32"/>
          <w:szCs w:val="32"/>
        </w:rPr>
        <w:t>，其中：财政拨款收入</w:t>
      </w:r>
      <w:r>
        <w:rPr>
          <w:rFonts w:hint="eastAsia" w:eastAsia="仿宋_GB2312"/>
          <w:sz w:val="32"/>
          <w:szCs w:val="32"/>
          <w:lang w:val="en-US" w:eastAsia="zh-CN"/>
        </w:rPr>
        <w:t>20119876.96</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99.26</w:t>
      </w:r>
      <w:r>
        <w:rPr>
          <w:rFonts w:eastAsia="仿宋_GB2312"/>
          <w:sz w:val="32"/>
          <w:szCs w:val="32"/>
        </w:rPr>
        <w:t>%；上级补助收入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%；事业收入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%；经营收入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%；附属单位上缴收入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%；其他收入</w:t>
      </w:r>
      <w:r>
        <w:rPr>
          <w:rFonts w:hint="eastAsia" w:eastAsia="仿宋_GB2312"/>
          <w:sz w:val="32"/>
          <w:szCs w:val="32"/>
          <w:lang w:val="en-US" w:eastAsia="zh-CN"/>
        </w:rPr>
        <w:t>149578.88</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0.73</w:t>
      </w:r>
      <w:r>
        <w:rPr>
          <w:rFonts w:eastAsia="仿宋_GB2312"/>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三、支出决算情况说明</w:t>
      </w:r>
    </w:p>
    <w:p>
      <w:pPr>
        <w:keepNext w:val="0"/>
        <w:keepLines w:val="0"/>
        <w:pageBreakBefore w:val="0"/>
        <w:kinsoku/>
        <w:wordWrap/>
        <w:overflowPunct/>
        <w:topLinePunct w:val="0"/>
        <w:bidi w:val="0"/>
        <w:snapToGrid/>
        <w:spacing w:line="560" w:lineRule="exact"/>
        <w:ind w:firstLine="614" w:firstLineChars="192"/>
        <w:textAlignment w:val="auto"/>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度支出合计</w:t>
      </w:r>
      <w:r>
        <w:rPr>
          <w:rFonts w:hint="eastAsia" w:eastAsia="仿宋_GB2312"/>
          <w:kern w:val="0"/>
          <w:sz w:val="32"/>
          <w:szCs w:val="32"/>
          <w:lang w:val="en-US" w:eastAsia="zh-CN"/>
        </w:rPr>
        <w:t>20276594.44</w:t>
      </w:r>
      <w:r>
        <w:rPr>
          <w:rFonts w:eastAsia="仿宋_GB2312"/>
          <w:kern w:val="0"/>
          <w:sz w:val="32"/>
          <w:szCs w:val="32"/>
        </w:rPr>
        <w:t>元，其中：基本支出</w:t>
      </w:r>
      <w:r>
        <w:rPr>
          <w:rFonts w:hint="eastAsia" w:eastAsia="仿宋_GB2312"/>
          <w:kern w:val="0"/>
          <w:sz w:val="32"/>
          <w:szCs w:val="32"/>
          <w:lang w:val="en-US" w:eastAsia="zh-CN"/>
        </w:rPr>
        <w:t>1799526.</w:t>
      </w:r>
      <w:r>
        <w:rPr>
          <w:rFonts w:eastAsia="仿宋_GB2312"/>
          <w:kern w:val="0"/>
          <w:sz w:val="32"/>
          <w:szCs w:val="32"/>
        </w:rPr>
        <w:t>元，占</w:t>
      </w:r>
      <w:r>
        <w:rPr>
          <w:rFonts w:hint="eastAsia" w:eastAsia="仿宋_GB2312"/>
          <w:sz w:val="32"/>
          <w:szCs w:val="32"/>
          <w:lang w:eastAsia="zh-CN"/>
        </w:rPr>
        <w:t>支出</w:t>
      </w:r>
      <w:r>
        <w:rPr>
          <w:rFonts w:hint="eastAsia" w:eastAsia="仿宋_GB2312"/>
          <w:sz w:val="32"/>
          <w:szCs w:val="32"/>
          <w:lang w:val="en-US" w:eastAsia="zh-CN"/>
        </w:rPr>
        <w:t>8.87</w:t>
      </w:r>
      <w:r>
        <w:rPr>
          <w:rFonts w:eastAsia="仿宋_GB2312"/>
          <w:kern w:val="0"/>
          <w:sz w:val="32"/>
          <w:szCs w:val="32"/>
        </w:rPr>
        <w:t>%；项目支出</w:t>
      </w:r>
      <w:r>
        <w:rPr>
          <w:rFonts w:hint="eastAsia" w:eastAsia="仿宋_GB2312"/>
          <w:kern w:val="0"/>
          <w:sz w:val="32"/>
          <w:szCs w:val="32"/>
          <w:lang w:val="en-US" w:eastAsia="zh-CN"/>
        </w:rPr>
        <w:t>18477067.54</w:t>
      </w:r>
      <w:r>
        <w:rPr>
          <w:rFonts w:eastAsia="仿宋_GB2312"/>
          <w:kern w:val="0"/>
          <w:sz w:val="32"/>
          <w:szCs w:val="32"/>
        </w:rPr>
        <w:t>元，占</w:t>
      </w:r>
      <w:r>
        <w:rPr>
          <w:rFonts w:hint="eastAsia" w:eastAsia="仿宋_GB2312"/>
          <w:kern w:val="0"/>
          <w:sz w:val="32"/>
          <w:szCs w:val="32"/>
          <w:lang w:eastAsia="zh-CN"/>
        </w:rPr>
        <w:t>支出</w:t>
      </w:r>
      <w:r>
        <w:rPr>
          <w:rFonts w:hint="eastAsia" w:eastAsia="仿宋_GB2312"/>
          <w:sz w:val="32"/>
          <w:szCs w:val="32"/>
          <w:lang w:eastAsia="zh-CN"/>
        </w:rPr>
        <w:t>的</w:t>
      </w:r>
      <w:r>
        <w:rPr>
          <w:rFonts w:hint="eastAsia" w:eastAsia="仿宋_GB2312"/>
          <w:sz w:val="32"/>
          <w:szCs w:val="32"/>
          <w:lang w:val="en-US" w:eastAsia="zh-CN"/>
        </w:rPr>
        <w:t>91.12</w:t>
      </w:r>
      <w:r>
        <w:rPr>
          <w:rFonts w:eastAsia="仿宋_GB2312"/>
          <w:kern w:val="0"/>
          <w:sz w:val="32"/>
          <w:szCs w:val="32"/>
        </w:rPr>
        <w:t>%；上缴上级支出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sz w:val="32"/>
          <w:szCs w:val="32"/>
          <w:lang w:val="en-US" w:eastAsia="zh-CN"/>
        </w:rPr>
        <w:t>0</w:t>
      </w:r>
      <w:r>
        <w:rPr>
          <w:rFonts w:eastAsia="仿宋_GB2312"/>
          <w:kern w:val="0"/>
          <w:sz w:val="32"/>
          <w:szCs w:val="32"/>
        </w:rPr>
        <w:t>%；经营支出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sz w:val="32"/>
          <w:szCs w:val="32"/>
          <w:lang w:val="en-US" w:eastAsia="zh-CN"/>
        </w:rPr>
        <w:t>0</w:t>
      </w:r>
      <w:r>
        <w:rPr>
          <w:rFonts w:eastAsia="仿宋_GB2312"/>
          <w:kern w:val="0"/>
          <w:sz w:val="32"/>
          <w:szCs w:val="32"/>
        </w:rPr>
        <w:t>%；对附属单位补助支出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sz w:val="32"/>
          <w:szCs w:val="32"/>
          <w:lang w:val="en-US" w:eastAsia="zh-CN"/>
        </w:rPr>
        <w:t>0</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keepNext w:val="0"/>
        <w:keepLines w:val="0"/>
        <w:pageBreakBefore w:val="0"/>
        <w:kinsoku/>
        <w:wordWrap/>
        <w:overflowPunct/>
        <w:topLinePunct w:val="0"/>
        <w:bidi w:val="0"/>
        <w:snapToGrid/>
        <w:spacing w:line="560" w:lineRule="exact"/>
        <w:ind w:firstLine="640"/>
        <w:textAlignment w:val="auto"/>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度财政拨款收入总计</w:t>
      </w:r>
      <w:r>
        <w:rPr>
          <w:rFonts w:hint="eastAsia" w:eastAsia="仿宋_GB2312"/>
          <w:kern w:val="0"/>
          <w:sz w:val="32"/>
          <w:szCs w:val="32"/>
          <w:lang w:val="en-US" w:eastAsia="zh-CN"/>
        </w:rPr>
        <w:t>20119876.96</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5927942.61</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29.46</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eastAsia="仿宋_GB2312"/>
          <w:kern w:val="0"/>
          <w:sz w:val="32"/>
          <w:szCs w:val="32"/>
          <w:lang w:val="en-US" w:eastAsia="zh-CN"/>
        </w:rPr>
        <w:t>20119876.96</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5843339.96</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29.04</w:t>
      </w:r>
      <w:r>
        <w:rPr>
          <w:rFonts w:eastAsia="仿宋_GB2312"/>
          <w:kern w:val="0"/>
          <w:sz w:val="32"/>
          <w:szCs w:val="32"/>
        </w:rPr>
        <w:t>%。主要原因是</w:t>
      </w:r>
      <w:r>
        <w:rPr>
          <w:rFonts w:hint="eastAsia" w:eastAsia="仿宋_GB2312"/>
          <w:kern w:val="0"/>
          <w:sz w:val="32"/>
          <w:szCs w:val="32"/>
          <w:lang w:eastAsia="zh-CN"/>
        </w:rPr>
        <w:t>自治区专项资金减</w:t>
      </w:r>
      <w:r>
        <w:rPr>
          <w:rFonts w:hint="eastAsia" w:ascii="仿宋" w:hAnsi="仿宋" w:eastAsia="仿宋" w:cs="仿宋"/>
          <w:sz w:val="32"/>
          <w:szCs w:val="32"/>
          <w:lang w:eastAsia="zh-CN"/>
        </w:rPr>
        <w:t>少</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keepNext w:val="0"/>
        <w:keepLines w:val="0"/>
        <w:pageBreakBefore w:val="0"/>
        <w:kinsoku/>
        <w:wordWrap/>
        <w:overflowPunct/>
        <w:topLinePunct w:val="0"/>
        <w:bidi w:val="0"/>
        <w:snapToGrid/>
        <w:spacing w:line="560" w:lineRule="exact"/>
        <w:ind w:firstLine="640"/>
        <w:textAlignment w:val="auto"/>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20119876.96</w:t>
      </w:r>
      <w:r>
        <w:rPr>
          <w:rFonts w:eastAsia="仿宋_GB2312"/>
          <w:kern w:val="0"/>
          <w:sz w:val="32"/>
          <w:szCs w:val="32"/>
        </w:rPr>
        <w:t>元，占本年支出合计的</w:t>
      </w:r>
      <w:r>
        <w:rPr>
          <w:rFonts w:hint="eastAsia" w:eastAsia="仿宋_GB2312"/>
          <w:kern w:val="0"/>
          <w:sz w:val="32"/>
          <w:szCs w:val="32"/>
          <w:lang w:val="en-US" w:eastAsia="zh-CN"/>
        </w:rPr>
        <w:t>100</w:t>
      </w:r>
      <w:r>
        <w:rPr>
          <w:rFonts w:eastAsia="仿宋_GB2312"/>
          <w:kern w:val="0"/>
          <w:sz w:val="32"/>
          <w:szCs w:val="32"/>
        </w:rPr>
        <w:t>%。与上年相比，一般公共预算财政拨款支出减少</w:t>
      </w:r>
      <w:r>
        <w:rPr>
          <w:rFonts w:hint="eastAsia" w:eastAsia="仿宋_GB2312"/>
          <w:kern w:val="0"/>
          <w:sz w:val="32"/>
          <w:szCs w:val="32"/>
          <w:lang w:val="en-US" w:eastAsia="zh-CN"/>
        </w:rPr>
        <w:t>5713926.05</w:t>
      </w:r>
      <w:r>
        <w:rPr>
          <w:rFonts w:eastAsia="仿宋_GB2312"/>
          <w:kern w:val="0"/>
          <w:sz w:val="32"/>
          <w:szCs w:val="32"/>
        </w:rPr>
        <w:t>元，下降</w:t>
      </w:r>
      <w:r>
        <w:rPr>
          <w:rFonts w:hint="eastAsia" w:eastAsia="仿宋_GB2312"/>
          <w:kern w:val="0"/>
          <w:sz w:val="32"/>
          <w:szCs w:val="32"/>
          <w:lang w:val="en-US" w:eastAsia="zh-CN"/>
        </w:rPr>
        <w:t>28.39</w:t>
      </w:r>
      <w:r>
        <w:rPr>
          <w:rFonts w:eastAsia="仿宋_GB2312"/>
          <w:kern w:val="0"/>
          <w:sz w:val="32"/>
          <w:szCs w:val="32"/>
        </w:rPr>
        <w:t>%，主要原因是</w:t>
      </w:r>
      <w:r>
        <w:rPr>
          <w:rFonts w:hint="eastAsia" w:ascii="仿宋" w:hAnsi="仿宋" w:eastAsia="仿宋" w:cs="仿宋"/>
          <w:sz w:val="32"/>
          <w:szCs w:val="32"/>
          <w:lang w:eastAsia="zh-CN"/>
        </w:rPr>
        <w:t>自治区专项资金减少</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321" w:firstLineChars="100"/>
        <w:textAlignment w:val="auto"/>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b/>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度一般公共预算财政拨款支出</w:t>
      </w:r>
      <w:r>
        <w:rPr>
          <w:rFonts w:hint="eastAsia" w:ascii="宋体" w:hAnsi="宋体" w:eastAsia="宋体" w:cs="宋体"/>
          <w:i w:val="0"/>
          <w:color w:val="000000"/>
          <w:kern w:val="0"/>
          <w:sz w:val="32"/>
          <w:szCs w:val="32"/>
          <w:u w:val="none"/>
          <w:lang w:val="en-US" w:eastAsia="zh-CN" w:bidi="ar"/>
        </w:rPr>
        <w:t>20119876.96</w:t>
      </w:r>
      <w:r>
        <w:rPr>
          <w:rFonts w:eastAsia="仿宋_GB2312"/>
          <w:kern w:val="0"/>
          <w:sz w:val="32"/>
          <w:szCs w:val="32"/>
        </w:rPr>
        <w:t>元，主要用于以下方面：</w:t>
      </w:r>
      <w:r>
        <w:rPr>
          <w:rFonts w:hint="eastAsia" w:ascii="宋体" w:hAnsi="宋体" w:cs="宋体"/>
          <w:color w:val="000000"/>
          <w:kern w:val="0"/>
          <w:sz w:val="32"/>
          <w:szCs w:val="32"/>
        </w:rPr>
        <w:t>一般公共服务支出</w:t>
      </w:r>
      <w:r>
        <w:rPr>
          <w:rFonts w:hint="eastAsia" w:ascii="宋体" w:hAnsi="宋体" w:cs="宋体"/>
          <w:color w:val="000000"/>
          <w:kern w:val="0"/>
          <w:sz w:val="32"/>
          <w:szCs w:val="32"/>
          <w:lang w:eastAsia="zh-CN"/>
        </w:rPr>
        <w:t>（类）支出</w:t>
      </w:r>
      <w:r>
        <w:rPr>
          <w:rFonts w:hint="eastAsia" w:ascii="宋体" w:hAnsi="宋体" w:cs="宋体"/>
          <w:color w:val="000000"/>
          <w:kern w:val="0"/>
          <w:sz w:val="32"/>
          <w:szCs w:val="32"/>
          <w:lang w:val="en-US" w:eastAsia="zh-CN"/>
        </w:rPr>
        <w:t>0元，占0</w:t>
      </w:r>
      <w:r>
        <w:rPr>
          <w:rFonts w:hint="eastAsia" w:ascii="仿宋" w:hAnsi="仿宋" w:eastAsia="仿宋" w:cs="仿宋"/>
          <w:kern w:val="0"/>
          <w:sz w:val="32"/>
          <w:szCs w:val="32"/>
        </w:rPr>
        <w:t>%；科学技术（类）支出</w:t>
      </w:r>
      <w:r>
        <w:rPr>
          <w:rFonts w:hint="eastAsia" w:ascii="宋体" w:hAnsi="宋体" w:eastAsia="宋体" w:cs="宋体"/>
          <w:i w:val="0"/>
          <w:color w:val="000000"/>
          <w:kern w:val="0"/>
          <w:sz w:val="32"/>
          <w:szCs w:val="32"/>
          <w:u w:val="none"/>
          <w:lang w:val="en-US" w:eastAsia="zh-CN" w:bidi="ar"/>
        </w:rPr>
        <w:t>12571716.79</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62.48</w:t>
      </w:r>
      <w:r>
        <w:rPr>
          <w:rFonts w:hint="eastAsia" w:ascii="仿宋" w:hAnsi="仿宋" w:eastAsia="仿宋" w:cs="仿宋"/>
          <w:kern w:val="0"/>
          <w:sz w:val="32"/>
          <w:szCs w:val="32"/>
        </w:rPr>
        <w:t>%；社会保障和就业（类）支出</w:t>
      </w:r>
      <w:r>
        <w:rPr>
          <w:rFonts w:hint="eastAsia" w:ascii="宋体" w:hAnsi="宋体" w:eastAsia="宋体" w:cs="宋体"/>
          <w:i w:val="0"/>
          <w:color w:val="000000"/>
          <w:kern w:val="0"/>
          <w:sz w:val="32"/>
          <w:szCs w:val="32"/>
          <w:u w:val="none"/>
          <w:lang w:val="en-US" w:eastAsia="zh-CN" w:bidi="ar"/>
        </w:rPr>
        <w:t>389607.54</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1.94</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卫生健康支出</w:t>
      </w:r>
      <w:r>
        <w:rPr>
          <w:rFonts w:hint="eastAsia" w:ascii="宋体" w:hAnsi="宋体" w:eastAsia="宋体" w:cs="宋体"/>
          <w:i w:val="0"/>
          <w:color w:val="000000"/>
          <w:kern w:val="0"/>
          <w:sz w:val="32"/>
          <w:szCs w:val="32"/>
          <w:u w:val="none"/>
          <w:lang w:val="en-US" w:eastAsia="zh-CN" w:bidi="ar"/>
        </w:rPr>
        <w:t>106318.71</w:t>
      </w:r>
      <w:r>
        <w:rPr>
          <w:rFonts w:hint="eastAsia" w:ascii="仿宋" w:hAnsi="仿宋" w:eastAsia="仿宋" w:cs="仿宋"/>
          <w:kern w:val="0"/>
          <w:sz w:val="32"/>
          <w:szCs w:val="32"/>
          <w:lang w:val="en-US" w:eastAsia="zh-CN"/>
        </w:rPr>
        <w:t>元，</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0.53</w:t>
      </w:r>
      <w:r>
        <w:rPr>
          <w:rFonts w:hint="eastAsia" w:ascii="仿宋" w:hAnsi="仿宋" w:eastAsia="仿宋" w:cs="仿宋"/>
          <w:kern w:val="0"/>
          <w:sz w:val="32"/>
          <w:szCs w:val="32"/>
        </w:rPr>
        <w:t>%；节能环保支出906700</w:t>
      </w:r>
      <w:r>
        <w:rPr>
          <w:rFonts w:hint="eastAsia" w:ascii="仿宋" w:hAnsi="仿宋" w:eastAsia="仿宋" w:cs="仿宋"/>
          <w:kern w:val="0"/>
          <w:sz w:val="32"/>
          <w:szCs w:val="32"/>
          <w:lang w:eastAsia="zh-CN"/>
        </w:rPr>
        <w:t>元，占</w:t>
      </w:r>
      <w:r>
        <w:rPr>
          <w:rFonts w:hint="eastAsia" w:ascii="仿宋" w:hAnsi="仿宋" w:eastAsia="仿宋" w:cs="仿宋"/>
          <w:kern w:val="0"/>
          <w:sz w:val="32"/>
          <w:szCs w:val="32"/>
          <w:lang w:val="en-US" w:eastAsia="zh-CN"/>
        </w:rPr>
        <w:t>4.51%，城乡社区支出23860元，占0.12%，资源勘探工业信息等支出6141705元，占30.52%，</w:t>
      </w:r>
      <w:r>
        <w:rPr>
          <w:rFonts w:hint="eastAsia" w:ascii="仿宋" w:hAnsi="仿宋" w:eastAsia="仿宋" w:cs="仿宋"/>
          <w:kern w:val="0"/>
          <w:sz w:val="32"/>
          <w:szCs w:val="32"/>
        </w:rPr>
        <w:t>住房保障（类）支出</w:t>
      </w:r>
      <w:r>
        <w:rPr>
          <w:rFonts w:hint="eastAsia"/>
          <w:color w:val="000000"/>
          <w:kern w:val="0"/>
          <w:sz w:val="32"/>
          <w:szCs w:val="32"/>
        </w:rPr>
        <w:t>136686.4</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0.68</w:t>
      </w:r>
      <w:r>
        <w:rPr>
          <w:rFonts w:hint="eastAsia" w:ascii="仿宋" w:hAnsi="仿宋" w:eastAsia="仿宋" w:cs="仿宋"/>
          <w:kern w:val="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keepNext w:val="0"/>
        <w:keepLines w:val="0"/>
        <w:pageBreakBefore w:val="0"/>
        <w:kinsoku/>
        <w:wordWrap/>
        <w:overflowPunct/>
        <w:topLinePunct w:val="0"/>
        <w:bidi w:val="0"/>
        <w:snapToGrid/>
        <w:spacing w:line="560" w:lineRule="exact"/>
        <w:ind w:firstLine="611" w:firstLineChars="191"/>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2024年度一般公共预算财政拨款支出年初预算为5574374.77元，支出决算为20119876.96元，完成年初预算的360%，其中：</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科学技术支出（类）科学技术管理事务（款）行政运行（项）。年初预算为1033463.4元，支出决算为1136924.25元，完成年初预算的110.01%，决算数大于预算数的主要原因是人员调动，因为2024年新考录公务员1名，增加事业人员3人，因2024年4月份机构改革，成立事业中心银川市金凤区工业信息化和科技创新服务中心相应工资支出增加。</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2.科学技术支出（类）自然科学基金，年初预算为0元，支出决算为140000元，决算数大于预算数的主要原因是自治区科技厅下达科技专项资金。</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科学技术支出（类）科技成果转化与扩散年初预算为20000元，支出决算为2241500元，完成年初预算的112%，决算数大于预算数的主要原因是除本级年初预算专项资金外，增加了自治区科技厅下达专项转移支付资金。</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科学技术支出（类）技术研究与开发（款）其他技术研究与开发支出，年初预算为3920000元，支出决算为8826000元，完成年初预算的225.15%，决算数大于预算数的主要原因是本级年初预算专项资金外，支出资金为自治区科技厅下达科技专项资金。</w:t>
      </w:r>
    </w:p>
    <w:p>
      <w:pPr>
        <w:pStyle w:val="2"/>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5、科学技术支出（类）其他科技条件与服务支出，年初预算为40000元，支出决算为5590元，完成年初预算的13.97%，决算数大于预算数的主要原因是自治区科技厅下达科技专项资金。</w:t>
      </w:r>
    </w:p>
    <w:p>
      <w:pPr>
        <w:pStyle w:val="2"/>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6、科学技术支出（类）科普活动，年初预算为85000元，支出决算为64985.06元，完成年初预算的76.45%，决算数小于预算数的主要原因是自治区科技厅下达科技专项资金。</w:t>
      </w:r>
    </w:p>
    <w:p>
      <w:pPr>
        <w:pStyle w:val="2"/>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7、科学技术支出（类）行政单位离退休，年初预算为118216.4元，支出决算为126781.18元，决算数大于预算数的主要原因是退休人员工资调资。</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8.社会保障和就业支出（类）行政事业单位养老支出（款）行政事业单位养老保险缴费支出（项）。年初预算为113912元，支出决算为129347.68元，完成年初预算的113.55%，决算数大于预算数的主要原因为当年工作人员工资调整，提高2024年机关养老保险缴费基数。</w:t>
      </w:r>
    </w:p>
    <w:p>
      <w:pPr>
        <w:pStyle w:val="2"/>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9.社会保障和就业支出（类）行政事业单位养老支出（款）机关事业单位职业年金缴费支出（项）。年初预算为38356元，支出决算为133478.68元，完成年初预算的347%，决算数大于预算数的主要原因为当年工作人员工资调整，提高2024年机关职业年金保险缴费基数。</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10.行政单位医疗。年初预算为45620元，支出决算为54686元，完成年初预算的113.18%，决算数大于预算数的主要原因提高2024年医疗保险缴纳基数。</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11.公务员医疗补助。年初预算为57402元，支出决算为59392元，完成年初预算的103.46%。决算数大于预算数的主要原因提高2024年公务员医疗保险缴纳基数。</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12.住房保障支出（类）住房改革支出（款）住房公积金（项）。年初预算为100414.97元，支出决算为118684元，完成年初预算的118.19%，决算数大于预算数的主要原因当年有人员增加。</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13.住房保障支出（类）住房改革支出（款）购房补贴（项）。年初预算为0元，支出决算为18002.4元，决算数大于预算数的主要原因是发放2023年住房补贴。</w:t>
      </w:r>
    </w:p>
    <w:p>
      <w:pPr>
        <w:pStyle w:val="2"/>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14、减排专项支出年初预算为0元，支出决算为906700元决算数大于预算数的主要原因是自治区科技厅下达科技专项资金。</w:t>
      </w:r>
    </w:p>
    <w:p>
      <w:pPr>
        <w:pStyle w:val="2"/>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15、产业发展年初预算为0元，支出决算为4641705元决算数大于预算数的主要原因是自治区科技厅下达科技专项资金。</w:t>
      </w:r>
    </w:p>
    <w:p>
      <w:pPr>
        <w:pStyle w:val="2"/>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16、中小企业发展专项年初预算为0元，支出决算为1500000元，决算数大于预算数的主要原因是自治区科技厅下达科技专项资金。</w:t>
      </w:r>
    </w:p>
    <w:p>
      <w:pPr>
        <w:keepNext w:val="0"/>
        <w:keepLines w:val="0"/>
        <w:pageBreakBefore w:val="0"/>
        <w:kinsoku/>
        <w:wordWrap/>
        <w:overflowPunct/>
        <w:topLinePunct w:val="0"/>
        <w:bidi w:val="0"/>
        <w:snapToGrid/>
        <w:spacing w:line="560" w:lineRule="exact"/>
        <w:ind w:firstLine="320" w:firstLineChars="100"/>
        <w:textAlignment w:val="auto"/>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pPr>
        <w:pStyle w:val="18"/>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2024年度一般公共预算财政拨款基本支出1799526.9元，其中：人员经费1703608.84元，公用经费95918.06元。支出具体情况如下：</w:t>
      </w:r>
    </w:p>
    <w:p>
      <w:pPr>
        <w:pStyle w:val="18"/>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（1）工资福利支出1575567.66元，较年初预算数增加699167.66元，增长44.37%，主要原因是工资发放标准调整，增加基础绩效工资，各项保险基数调增并补缴。较上年决算数增加243201.65元，增长15.43%。</w:t>
      </w:r>
    </w:p>
    <w:p>
      <w:pPr>
        <w:pStyle w:val="18"/>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（2）商品和服务支出88628.06元，较年初预算数增加5728.06元，增长6.46%，主要原因是本年人员增加；较上年决算数增加19627.33元，增长22.14%。</w:t>
      </w:r>
    </w:p>
    <w:p>
      <w:pPr>
        <w:pStyle w:val="18"/>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3.对个人和家庭的补助128041.18元，较年初预算数增加9841.18元，增长7.68%，主要原因是退休人员增资；较上年决算数增加16875.46元，增长13.18%。</w:t>
      </w:r>
    </w:p>
    <w:p>
      <w:pPr>
        <w:pStyle w:val="18"/>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4.其他资本性支出1160元，较年初预算数增加1160元，增长100%，主要原因是购置办公设备；较上年决算数增加170元，增长14.65%。</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kern w:val="0"/>
          <w:sz w:val="32"/>
          <w:szCs w:val="32"/>
          <w14:textFill>
            <w14:solidFill>
              <w14:schemeClr w14:val="tx1"/>
            </w14:solidFill>
          </w14:textFill>
        </w:rPr>
        <w:t>度“三公”经费一般公共预算财政拨款支出年初预算为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元，支出决算为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元。与上年相比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无增减变化。</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我单位无</w:t>
      </w:r>
      <w:r>
        <w:rPr>
          <w:rFonts w:hint="eastAsia" w:ascii="仿宋_GB2312" w:hAnsi="仿宋_GB2312" w:eastAsia="仿宋_GB2312" w:cs="仿宋_GB2312"/>
          <w:color w:val="000000" w:themeColor="text1"/>
          <w:sz w:val="32"/>
          <w:szCs w:val="32"/>
          <w14:textFill>
            <w14:solidFill>
              <w14:schemeClr w14:val="tx1"/>
            </w14:solidFill>
          </w14:textFill>
        </w:rPr>
        <w:t>“三公”经费一般公共预算财政拨款支出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8"/>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度政府性基金预算财政拨款年初结转和结余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元，本年收入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元，本年支出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元，年末结转和结余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元，较上年决算数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无增减变化。</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keepNext w:val="0"/>
        <w:keepLines w:val="0"/>
        <w:pageBreakBefore w:val="0"/>
        <w:kinsoku/>
        <w:wordWrap/>
        <w:overflowPunct/>
        <w:topLinePunct w:val="0"/>
        <w:bidi w:val="0"/>
        <w:spacing w:line="560" w:lineRule="exact"/>
        <w:ind w:firstLine="640" w:firstLineChars="200"/>
        <w:textAlignment w:val="auto"/>
        <w:outlineLvl w:val="1"/>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eastAsia="zh-CN"/>
          <w14:textFill>
            <w14:solidFill>
              <w14:schemeClr w14:val="tx1"/>
            </w14:solidFill>
          </w14:textFill>
        </w:rPr>
        <w:t>202</w:t>
      </w:r>
      <w:r>
        <w:rPr>
          <w:rFonts w:hint="eastAsia" w:eastAsia="仿宋_GB2312"/>
          <w:color w:val="000000" w:themeColor="text1"/>
          <w:kern w:val="0"/>
          <w:sz w:val="32"/>
          <w:szCs w:val="32"/>
          <w:lang w:val="en-US" w:eastAsia="zh-CN"/>
          <w14:textFill>
            <w14:solidFill>
              <w14:schemeClr w14:val="tx1"/>
            </w14:solidFill>
          </w14:textFill>
        </w:rPr>
        <w:t>4</w:t>
      </w:r>
      <w:r>
        <w:rPr>
          <w:rFonts w:hint="eastAsia" w:eastAsia="仿宋_GB2312"/>
          <w:color w:val="000000" w:themeColor="text1"/>
          <w:kern w:val="0"/>
          <w:sz w:val="32"/>
          <w:szCs w:val="32"/>
          <w:lang w:eastAsia="zh-CN"/>
          <w14:textFill>
            <w14:solidFill>
              <w14:schemeClr w14:val="tx1"/>
            </w14:solidFill>
          </w14:textFill>
        </w:rPr>
        <w:t>年</w:t>
      </w:r>
      <w:r>
        <w:rPr>
          <w:rFonts w:eastAsia="仿宋_GB2312"/>
          <w:color w:val="000000" w:themeColor="text1"/>
          <w:kern w:val="0"/>
          <w:sz w:val="32"/>
          <w:szCs w:val="32"/>
          <w14:textFill>
            <w14:solidFill>
              <w14:schemeClr w14:val="tx1"/>
            </w14:solidFill>
          </w14:textFill>
        </w:rPr>
        <w:t>度</w:t>
      </w:r>
      <w:r>
        <w:rPr>
          <w:rFonts w:hint="eastAsia" w:eastAsia="仿宋_GB2312"/>
          <w:color w:val="000000" w:themeColor="text1"/>
          <w:kern w:val="0"/>
          <w:sz w:val="32"/>
          <w:szCs w:val="32"/>
          <w:lang w:eastAsia="zh-CN"/>
          <w14:textFill>
            <w14:solidFill>
              <w14:schemeClr w14:val="tx1"/>
            </w14:solidFill>
          </w14:textFill>
        </w:rPr>
        <w:t>本单位</w:t>
      </w:r>
      <w:r>
        <w:rPr>
          <w:rFonts w:eastAsia="仿宋_GB2312"/>
          <w:color w:val="000000" w:themeColor="text1"/>
          <w:kern w:val="0"/>
          <w:sz w:val="32"/>
          <w:szCs w:val="32"/>
          <w14:textFill>
            <w14:solidFill>
              <w14:schemeClr w14:val="tx1"/>
            </w14:solidFill>
          </w14:textFill>
        </w:rPr>
        <w:t>运行经费年初预算</w:t>
      </w:r>
      <w:r>
        <w:rPr>
          <w:rFonts w:hint="eastAsia" w:eastAsia="仿宋_GB2312"/>
          <w:color w:val="000000" w:themeColor="text1"/>
          <w:kern w:val="0"/>
          <w:sz w:val="32"/>
          <w:szCs w:val="32"/>
          <w:lang w:eastAsia="zh-CN"/>
          <w14:textFill>
            <w14:solidFill>
              <w14:schemeClr w14:val="tx1"/>
            </w14:solidFill>
          </w14:textFill>
        </w:rPr>
        <w:t>为</w:t>
      </w:r>
      <w:r>
        <w:rPr>
          <w:rFonts w:hint="eastAsia" w:eastAsia="仿宋_GB2312"/>
          <w:color w:val="000000" w:themeColor="text1"/>
          <w:kern w:val="0"/>
          <w:sz w:val="32"/>
          <w:szCs w:val="32"/>
          <w:lang w:val="en-US" w:eastAsia="zh-CN"/>
          <w14:textFill>
            <w14:solidFill>
              <w14:schemeClr w14:val="tx1"/>
            </w14:solidFill>
          </w14:textFill>
        </w:rPr>
        <w:t>82900</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89788.06</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1.08</w:t>
      </w:r>
      <w:r>
        <w:rPr>
          <w:rFonts w:eastAsia="仿宋_GB2312"/>
          <w:color w:val="000000" w:themeColor="text1"/>
          <w:kern w:val="0"/>
          <w:sz w:val="32"/>
          <w:szCs w:val="32"/>
          <w14:textFill>
            <w14:solidFill>
              <w14:schemeClr w14:val="tx1"/>
            </w14:solidFill>
          </w14:textFill>
        </w:rPr>
        <w:t>%；比上年</w:t>
      </w:r>
      <w:r>
        <w:rPr>
          <w:rFonts w:hint="eastAsia" w:eastAsia="仿宋_GB2312"/>
          <w:color w:val="000000" w:themeColor="text1"/>
          <w:kern w:val="0"/>
          <w:sz w:val="32"/>
          <w:szCs w:val="32"/>
          <w:lang w:val="en-US" w:eastAsia="zh-CN"/>
          <w14:textFill>
            <w14:solidFill>
              <w14:schemeClr w14:val="tx1"/>
            </w14:solidFill>
          </w14:textFill>
        </w:rPr>
        <w:t>69990.73元相比增加19797.33</w:t>
      </w:r>
      <w:r>
        <w:rPr>
          <w:rFonts w:eastAsia="仿宋_GB2312"/>
          <w:color w:val="000000" w:themeColor="text1"/>
          <w:kern w:val="0"/>
          <w:sz w:val="32"/>
          <w:szCs w:val="32"/>
          <w14:textFill>
            <w14:solidFill>
              <w14:schemeClr w14:val="tx1"/>
            </w14:solidFill>
          </w14:textFill>
        </w:rPr>
        <w:t>元，</w:t>
      </w:r>
      <w:r>
        <w:rPr>
          <w:rFonts w:hint="eastAsia" w:eastAsia="仿宋_GB2312"/>
          <w:color w:val="000000" w:themeColor="text1"/>
          <w:kern w:val="0"/>
          <w:sz w:val="32"/>
          <w:szCs w:val="32"/>
          <w:lang w:eastAsia="zh-CN"/>
          <w14:textFill>
            <w14:solidFill>
              <w14:schemeClr w14:val="tx1"/>
            </w14:solidFill>
          </w14:textFill>
        </w:rPr>
        <w:t>增长</w:t>
      </w:r>
      <w:r>
        <w:rPr>
          <w:rFonts w:hint="eastAsia" w:eastAsia="仿宋_GB2312"/>
          <w:color w:val="000000" w:themeColor="text1"/>
          <w:kern w:val="0"/>
          <w:sz w:val="32"/>
          <w:szCs w:val="32"/>
          <w:lang w:val="en-US" w:eastAsia="zh-CN"/>
          <w14:textFill>
            <w14:solidFill>
              <w14:schemeClr w14:val="tx1"/>
            </w14:solidFill>
          </w14:textFill>
        </w:rPr>
        <w:t>22.04</w:t>
      </w:r>
      <w:r>
        <w:rPr>
          <w:rFonts w:eastAsia="仿宋_GB2312"/>
          <w:color w:val="000000" w:themeColor="text1"/>
          <w:kern w:val="0"/>
          <w:sz w:val="32"/>
          <w:szCs w:val="32"/>
          <w14:textFill>
            <w14:solidFill>
              <w14:schemeClr w14:val="tx1"/>
            </w14:solidFill>
          </w14:textFill>
        </w:rPr>
        <w:t>%。决算数</w:t>
      </w:r>
      <w:r>
        <w:rPr>
          <w:rFonts w:hint="eastAsia" w:eastAsia="仿宋_GB2312"/>
          <w:color w:val="000000" w:themeColor="text1"/>
          <w:kern w:val="0"/>
          <w:sz w:val="32"/>
          <w:szCs w:val="32"/>
          <w:lang w:eastAsia="zh-CN"/>
          <w14:textFill>
            <w14:solidFill>
              <w14:schemeClr w14:val="tx1"/>
            </w14:solidFill>
          </w14:textFill>
        </w:rPr>
        <w:t>大</w:t>
      </w:r>
      <w:r>
        <w:rPr>
          <w:rFonts w:eastAsia="仿宋_GB2312"/>
          <w:color w:val="000000" w:themeColor="text1"/>
          <w:kern w:val="0"/>
          <w:sz w:val="32"/>
          <w:szCs w:val="32"/>
          <w14:textFill>
            <w14:solidFill>
              <w14:schemeClr w14:val="tx1"/>
            </w14:solidFill>
          </w14:textFill>
        </w:rPr>
        <w:t>于预算数的主要原</w:t>
      </w:r>
      <w:r>
        <w:rPr>
          <w:rFonts w:hint="eastAsia" w:eastAsia="仿宋_GB2312"/>
          <w:color w:val="000000" w:themeColor="text1"/>
          <w:kern w:val="0"/>
          <w:sz w:val="32"/>
          <w:szCs w:val="32"/>
          <w:lang w:eastAsia="zh-CN"/>
          <w14:textFill>
            <w14:solidFill>
              <w14:schemeClr w14:val="tx1"/>
            </w14:solidFill>
          </w14:textFill>
        </w:rPr>
        <w:t>因</w:t>
      </w:r>
      <w:r>
        <w:rPr>
          <w:rFonts w:ascii="Times New Roman" w:hAnsi="Times New Roman" w:eastAsia="仿宋_GB2312" w:cs="Times New Roman"/>
          <w:color w:val="000000" w:themeColor="text1"/>
          <w:sz w:val="32"/>
          <w:szCs w:val="32"/>
          <w14:textFill>
            <w14:solidFill>
              <w14:schemeClr w14:val="tx1"/>
            </w14:solidFill>
          </w14:textFill>
        </w:rPr>
        <w:t>是</w:t>
      </w:r>
      <w:r>
        <w:rPr>
          <w:rFonts w:hint="eastAsia" w:eastAsia="仿宋_GB2312"/>
          <w:kern w:val="0"/>
          <w:sz w:val="32"/>
          <w:szCs w:val="32"/>
        </w:rPr>
        <w:t>因2024年4月份机构改革，成立事业中心银川市金凤区工业信息化和科技创新服务中心</w:t>
      </w:r>
      <w:r>
        <w:rPr>
          <w:rFonts w:hint="eastAsia" w:eastAsia="仿宋_GB2312"/>
          <w:kern w:val="0"/>
          <w:sz w:val="32"/>
          <w:szCs w:val="32"/>
          <w:lang w:eastAsia="zh-CN"/>
        </w:rPr>
        <w:t>，增加事业编</w:t>
      </w:r>
      <w:r>
        <w:rPr>
          <w:rFonts w:hint="eastAsia" w:eastAsia="仿宋_GB2312"/>
          <w:kern w:val="0"/>
          <w:sz w:val="32"/>
          <w:szCs w:val="32"/>
          <w:lang w:val="en-US" w:eastAsia="zh-CN"/>
        </w:rPr>
        <w:t>3人</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度本部门政府采购支出决算总额</w:t>
      </w:r>
      <w:r>
        <w:rPr>
          <w:rFonts w:hint="eastAsia" w:eastAsia="仿宋_GB2312"/>
          <w:kern w:val="0"/>
          <w:sz w:val="32"/>
          <w:szCs w:val="32"/>
          <w:lang w:val="en-US" w:eastAsia="zh-CN"/>
        </w:rPr>
        <w:t>0</w:t>
      </w:r>
      <w:r>
        <w:rPr>
          <w:rFonts w:eastAsia="仿宋_GB2312"/>
          <w:kern w:val="0"/>
          <w:sz w:val="32"/>
          <w:szCs w:val="32"/>
        </w:rPr>
        <w:t>元，其中：政府采购货物预算</w:t>
      </w:r>
      <w:r>
        <w:rPr>
          <w:rFonts w:hint="eastAsia" w:eastAsia="仿宋_GB2312"/>
          <w:kern w:val="0"/>
          <w:sz w:val="32"/>
          <w:szCs w:val="32"/>
          <w:lang w:val="en-US" w:eastAsia="zh-CN"/>
        </w:rPr>
        <w:t>0</w:t>
      </w:r>
      <w:r>
        <w:rPr>
          <w:rFonts w:eastAsia="仿宋_GB2312"/>
          <w:kern w:val="0"/>
          <w:sz w:val="32"/>
          <w:szCs w:val="32"/>
        </w:rPr>
        <w:t>元，政府采购工程预算</w:t>
      </w:r>
      <w:r>
        <w:rPr>
          <w:rFonts w:hint="eastAsia" w:eastAsia="仿宋_GB2312"/>
          <w:kern w:val="0"/>
          <w:sz w:val="32"/>
          <w:szCs w:val="32"/>
          <w:lang w:val="en-US" w:eastAsia="zh-CN"/>
        </w:rPr>
        <w:t>0</w:t>
      </w:r>
      <w:r>
        <w:rPr>
          <w:rFonts w:eastAsia="仿宋_GB2312"/>
          <w:kern w:val="0"/>
          <w:sz w:val="32"/>
          <w:szCs w:val="32"/>
        </w:rPr>
        <w:t>元，政府采购服务预算</w:t>
      </w:r>
      <w:r>
        <w:rPr>
          <w:rFonts w:hint="eastAsia" w:eastAsia="仿宋_GB2312"/>
          <w:kern w:val="0"/>
          <w:sz w:val="32"/>
          <w:szCs w:val="32"/>
          <w:lang w:val="en-US" w:eastAsia="zh-CN"/>
        </w:rPr>
        <w:t>0</w:t>
      </w:r>
      <w:r>
        <w:rPr>
          <w:rFonts w:eastAsia="仿宋_GB2312"/>
          <w:kern w:val="0"/>
          <w:sz w:val="32"/>
          <w:szCs w:val="32"/>
        </w:rPr>
        <w:t>元。</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keepNext w:val="0"/>
        <w:keepLines w:val="0"/>
        <w:pageBreakBefore w:val="0"/>
        <w:kinsoku/>
        <w:wordWrap/>
        <w:overflowPunct/>
        <w:topLinePunct w:val="0"/>
        <w:bidi w:val="0"/>
        <w:spacing w:line="560" w:lineRule="exact"/>
        <w:ind w:firstLine="640" w:firstLineChars="200"/>
        <w:textAlignment w:val="auto"/>
        <w:outlineLvl w:val="1"/>
        <w:rPr>
          <w:rFonts w:hint="eastAsia" w:eastAsia="仿宋_GB2312"/>
          <w:color w:val="000000" w:themeColor="text1"/>
          <w:kern w:val="0"/>
          <w:sz w:val="32"/>
          <w:szCs w:val="32"/>
          <w:lang w:eastAsia="zh-CN"/>
          <w14:textFill>
            <w14:solidFill>
              <w14:schemeClr w14:val="tx1"/>
            </w14:solidFill>
          </w14:textFill>
        </w:rPr>
      </w:pPr>
      <w:r>
        <w:rPr>
          <w:rFonts w:eastAsia="仿宋_GB2312"/>
          <w:kern w:val="0"/>
          <w:sz w:val="32"/>
          <w:szCs w:val="32"/>
        </w:rPr>
        <w:t>截至</w:t>
      </w:r>
      <w:r>
        <w:rPr>
          <w:rFonts w:hint="eastAsia" w:eastAsia="仿宋_GB2312"/>
          <w:kern w:val="0"/>
          <w:sz w:val="32"/>
          <w:szCs w:val="32"/>
          <w:lang w:eastAsia="zh-CN"/>
        </w:rPr>
        <w:t>2024年</w:t>
      </w:r>
      <w:r>
        <w:rPr>
          <w:rFonts w:eastAsia="仿宋_GB2312"/>
          <w:kern w:val="0"/>
          <w:sz w:val="32"/>
          <w:szCs w:val="32"/>
        </w:rPr>
        <w:t>12月31日，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我单位所有房屋面积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0平方米，现办公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使用</w:t>
      </w:r>
      <w:r>
        <w:rPr>
          <w:rFonts w:hint="eastAsia" w:ascii="仿宋_GB2312" w:hAnsi="仿宋_GB2312" w:eastAsia="仿宋_GB2312" w:cs="仿宋_GB2312"/>
          <w:color w:val="000000" w:themeColor="text1"/>
          <w:kern w:val="0"/>
          <w:sz w:val="32"/>
          <w:szCs w:val="32"/>
          <w14:textFill>
            <w14:solidFill>
              <w14:schemeClr w14:val="tx1"/>
            </w14:solidFill>
          </w14:textFill>
        </w:rPr>
        <w:t>房屋面积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112</w:t>
      </w:r>
      <w:r>
        <w:rPr>
          <w:rFonts w:hint="eastAsia" w:ascii="仿宋_GB2312" w:hAnsi="仿宋_GB2312" w:eastAsia="仿宋_GB2312" w:cs="仿宋_GB2312"/>
          <w:color w:val="000000" w:themeColor="text1"/>
          <w:kern w:val="0"/>
          <w:sz w:val="32"/>
          <w:szCs w:val="32"/>
          <w14:textFill>
            <w14:solidFill>
              <w14:schemeClr w14:val="tx1"/>
            </w14:solidFill>
          </w14:textFill>
        </w:rPr>
        <w:t>平方米，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房屋产权为金凤区人民政府所有。我单位名下无车辆</w:t>
      </w:r>
      <w:r>
        <w:rPr>
          <w:rFonts w:hint="eastAsia" w:eastAsia="仿宋_GB2312"/>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321" w:firstLineChars="100"/>
        <w:textAlignment w:val="auto"/>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keepNext w:val="0"/>
        <w:keepLines w:val="0"/>
        <w:pageBreakBefore w:val="0"/>
        <w:kinsoku/>
        <w:wordWrap/>
        <w:overflowPunct/>
        <w:topLinePunct w:val="0"/>
        <w:bidi w:val="0"/>
        <w:spacing w:line="560" w:lineRule="exact"/>
        <w:ind w:firstLine="643" w:firstLineChars="200"/>
        <w:textAlignment w:val="auto"/>
        <w:outlineLvl w:val="1"/>
        <w:rPr>
          <w:rFonts w:eastAsia="仿宋_GB2312"/>
          <w:color w:val="auto"/>
          <w:kern w:val="0"/>
          <w:sz w:val="32"/>
          <w:szCs w:val="32"/>
        </w:rPr>
      </w:pPr>
      <w:r>
        <w:rPr>
          <w:rFonts w:eastAsia="仿宋_GB2312"/>
          <w:b/>
          <w:kern w:val="0"/>
          <w:sz w:val="32"/>
          <w:szCs w:val="32"/>
        </w:rPr>
        <w:t>1.预算绩效管理工作开展情况。</w:t>
      </w:r>
      <w:r>
        <w:rPr>
          <w:rFonts w:eastAsia="仿宋_GB2312"/>
          <w:color w:val="auto"/>
          <w:kern w:val="0"/>
          <w:sz w:val="32"/>
          <w:szCs w:val="32"/>
        </w:rPr>
        <w:t>根据预算绩效管理要求，本部门组织对</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hint="eastAsia" w:eastAsia="仿宋_GB2312"/>
          <w:color w:val="auto"/>
          <w:kern w:val="0"/>
          <w:sz w:val="32"/>
          <w:szCs w:val="32"/>
          <w:lang w:eastAsia="zh-CN"/>
        </w:rPr>
        <w:t>年</w:t>
      </w:r>
      <w:r>
        <w:rPr>
          <w:rFonts w:eastAsia="仿宋_GB2312"/>
          <w:color w:val="auto"/>
          <w:kern w:val="0"/>
          <w:sz w:val="32"/>
          <w:szCs w:val="32"/>
        </w:rPr>
        <w:t>度一般公共预算项目支出全面开展绩效自评。涉及项目</w:t>
      </w:r>
      <w:r>
        <w:rPr>
          <w:rFonts w:hint="eastAsia" w:eastAsia="仿宋_GB2312"/>
          <w:color w:val="auto"/>
          <w:kern w:val="0"/>
          <w:sz w:val="32"/>
          <w:szCs w:val="32"/>
          <w:lang w:val="en-US" w:eastAsia="zh-CN"/>
        </w:rPr>
        <w:t>4</w:t>
      </w:r>
      <w:r>
        <w:rPr>
          <w:rFonts w:eastAsia="仿宋_GB2312"/>
          <w:color w:val="auto"/>
          <w:kern w:val="0"/>
          <w:sz w:val="32"/>
          <w:szCs w:val="32"/>
        </w:rPr>
        <w:t>个，涉及资金</w:t>
      </w:r>
      <w:r>
        <w:rPr>
          <w:rFonts w:hint="eastAsia" w:eastAsia="仿宋_GB2312"/>
          <w:color w:val="auto"/>
          <w:kern w:val="0"/>
          <w:sz w:val="32"/>
          <w:szCs w:val="32"/>
          <w:lang w:val="en-US" w:eastAsia="zh-CN"/>
        </w:rPr>
        <w:t>4065000</w:t>
      </w:r>
      <w:r>
        <w:rPr>
          <w:rFonts w:eastAsia="仿宋_GB2312"/>
          <w:color w:val="auto"/>
          <w:kern w:val="0"/>
          <w:sz w:val="32"/>
          <w:szCs w:val="32"/>
        </w:rPr>
        <w:t>元，占一般公共预算项目支出总额的</w:t>
      </w:r>
      <w:r>
        <w:rPr>
          <w:rFonts w:hint="eastAsia" w:eastAsia="仿宋_GB2312"/>
          <w:color w:val="auto"/>
          <w:kern w:val="0"/>
          <w:sz w:val="32"/>
          <w:szCs w:val="32"/>
          <w:lang w:val="en-US" w:eastAsia="zh-CN"/>
        </w:rPr>
        <w:t>90.39</w:t>
      </w:r>
      <w:r>
        <w:rPr>
          <w:rFonts w:eastAsia="仿宋_GB2312"/>
          <w:color w:val="auto"/>
          <w:kern w:val="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outlineLvl w:val="1"/>
        <w:rPr>
          <w:rFonts w:eastAsia="仿宋_GB2312"/>
          <w:b/>
          <w:bCs/>
          <w:color w:val="FF0000"/>
          <w:kern w:val="0"/>
          <w:sz w:val="32"/>
          <w:szCs w:val="32"/>
        </w:rPr>
      </w:pPr>
    </w:p>
    <w:p>
      <w:pPr>
        <w:keepNext w:val="0"/>
        <w:keepLines w:val="0"/>
        <w:pageBreakBefore w:val="0"/>
        <w:kinsoku/>
        <w:wordWrap/>
        <w:overflowPunct/>
        <w:topLinePunct w:val="0"/>
        <w:bidi w:val="0"/>
        <w:spacing w:line="560" w:lineRule="exact"/>
        <w:ind w:firstLine="640" w:firstLineChars="200"/>
        <w:textAlignment w:val="auto"/>
        <w:outlineLvl w:val="1"/>
        <w:rPr>
          <w:rFonts w:eastAsia="仿宋_GB2312"/>
          <w:kern w:val="0"/>
          <w:sz w:val="32"/>
          <w:szCs w:val="32"/>
        </w:rPr>
      </w:pPr>
    </w:p>
    <w:p>
      <w:pPr>
        <w:keepNext w:val="0"/>
        <w:keepLines w:val="0"/>
        <w:pageBreakBefore w:val="0"/>
        <w:kinsoku/>
        <w:wordWrap/>
        <w:overflowPunct/>
        <w:topLinePunct w:val="0"/>
        <w:bidi w:val="0"/>
        <w:spacing w:line="560" w:lineRule="exact"/>
        <w:jc w:val="center"/>
        <w:textAlignment w:val="auto"/>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pPr>
        <w:keepNext w:val="0"/>
        <w:keepLines w:val="0"/>
        <w:pageBreakBefore w:val="0"/>
        <w:kinsoku/>
        <w:wordWrap/>
        <w:overflowPunct/>
        <w:topLinePunct w:val="0"/>
        <w:bidi w:val="0"/>
        <w:snapToGrid w:val="0"/>
        <w:spacing w:line="560" w:lineRule="exact"/>
        <w:textAlignment w:val="auto"/>
        <w:rPr>
          <w:rFonts w:eastAsia="仿宋_GB2312"/>
          <w:kern w:val="0"/>
          <w:sz w:val="44"/>
          <w:szCs w:val="44"/>
        </w:rPr>
      </w:pP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2024年</w:t>
      </w:r>
      <w:r>
        <w:rPr>
          <w:rFonts w:eastAsia="仿宋_GB2312"/>
          <w:sz w:val="32"/>
          <w:szCs w:val="32"/>
        </w:rPr>
        <w:t>政府收支分类科目》“类”、“款”、“项”的编码和名称填列</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六、本年收入：是指单位本年度取得的全部收入。</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七、本年支出：是指单位本年度全部支出。</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八、结余分配：是指单位当年结余的分配情况。</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九、年末结转和结余：是指单位结转下年的基本支出结转、项目支出结转和结余和经营结余。</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十一、事业收入：是指事业单位开展专业业务活动及其辅助活动取得的收入。</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十三、其他收入：是指单位取得的除“财政拨款收入”、“事业收入”、“经营收入”等以外的各项收入。</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十四、基本支出：是指单位为保障机构正常运转、完成日常工作任务而发生的各项支出。</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十六、经营支出：是指事业单位在专业活动及辅助活动之外开展非独立核算经营活动发生的支出。</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十八、日常公用经费：是指单位用一般公共预算财政拨款安排的除人员经费以外的基本支出。</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line="560" w:lineRule="exact"/>
        <w:jc w:val="center"/>
        <w:textAlignment w:val="auto"/>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eastAsia="仿宋_GB2312"/>
          <w:color w:val="000000"/>
          <w:kern w:val="0"/>
          <w:sz w:val="32"/>
          <w:szCs w:val="32"/>
          <w:lang w:val="en-US" w:eastAsia="zh-CN"/>
        </w:rPr>
      </w:pPr>
    </w:p>
    <w:p>
      <w:pPr>
        <w:keepNext w:val="0"/>
        <w:keepLines w:val="0"/>
        <w:pageBreakBefore w:val="0"/>
        <w:kinsoku/>
        <w:wordWrap/>
        <w:overflowPunct/>
        <w:topLinePunct w:val="0"/>
        <w:bidi w:val="0"/>
        <w:snapToGrid w:val="0"/>
        <w:spacing w:line="560" w:lineRule="exact"/>
        <w:ind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附件：《2024年度项目支出绩效自评表》</w:t>
      </w:r>
    </w:p>
    <w:p>
      <w:pPr>
        <w:keepNext w:val="0"/>
        <w:keepLines w:val="0"/>
        <w:pageBreakBefore w:val="0"/>
        <w:kinsoku/>
        <w:wordWrap/>
        <w:overflowPunct/>
        <w:topLinePunct w:val="0"/>
        <w:bidi w:val="0"/>
        <w:snapToGrid w:val="0"/>
        <w:spacing w:line="560" w:lineRule="exact"/>
        <w:ind w:firstLine="640" w:firstLineChars="200"/>
        <w:textAlignment w:val="auto"/>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pPr>
        <w:keepNext w:val="0"/>
        <w:keepLines w:val="0"/>
        <w:pageBreakBefore w:val="0"/>
        <w:widowControl/>
        <w:kinsoku/>
        <w:wordWrap/>
        <w:overflowPunct/>
        <w:topLinePunct w:val="0"/>
        <w:bidi w:val="0"/>
        <w:spacing w:line="560" w:lineRule="exact"/>
        <w:jc w:val="left"/>
        <w:textAlignment w:val="auto"/>
        <w:rPr>
          <w:rFonts w:eastAsia="仿宋_GB2312"/>
          <w:kern w:val="0"/>
          <w:sz w:val="32"/>
          <w:szCs w:val="32"/>
        </w:rPr>
      </w:pP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pacing w:line="560" w:lineRule="exact"/>
        <w:ind w:firstLine="280" w:firstLineChars="100"/>
        <w:textAlignment w:val="auto"/>
        <w:rPr>
          <w:rFonts w:eastAsia="仿宋_GB2312"/>
          <w:color w:val="000000"/>
          <w:sz w:val="28"/>
          <w:szCs w:val="28"/>
        </w:rPr>
      </w:pP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pacing w:line="560" w:lineRule="exact"/>
        <w:ind w:firstLine="280" w:firstLineChars="100"/>
        <w:textAlignment w:val="auto"/>
        <w:rPr>
          <w:rFonts w:eastAsia="仿宋_GB2312"/>
          <w:color w:val="000000"/>
          <w:sz w:val="28"/>
          <w:szCs w:val="28"/>
        </w:rPr>
      </w:pPr>
    </w:p>
    <w:p>
      <w:pPr>
        <w:keepNext w:val="0"/>
        <w:keepLines w:val="0"/>
        <w:pageBreakBefore w:val="0"/>
        <w:kinsoku/>
        <w:wordWrap/>
        <w:overflowPunct/>
        <w:topLinePunct w:val="0"/>
        <w:bidi w:val="0"/>
        <w:adjustRightInd w:val="0"/>
        <w:snapToGrid w:val="0"/>
        <w:spacing w:line="560" w:lineRule="exact"/>
        <w:ind w:right="160"/>
        <w:jc w:val="right"/>
        <w:textAlignment w:val="auto"/>
        <w:rPr>
          <w:rFonts w:eastAsia="仿宋_GB2312"/>
          <w:sz w:val="32"/>
          <w:szCs w:val="32"/>
        </w:rPr>
      </w:pPr>
    </w:p>
    <w:p>
      <w:pPr>
        <w:keepNext w:val="0"/>
        <w:keepLines w:val="0"/>
        <w:pageBreakBefore w:val="0"/>
        <w:kinsoku/>
        <w:wordWrap/>
        <w:overflowPunct/>
        <w:topLinePunct w:val="0"/>
        <w:bidi w:val="0"/>
        <w:adjustRightInd w:val="0"/>
        <w:snapToGrid w:val="0"/>
        <w:spacing w:line="560" w:lineRule="exact"/>
        <w:ind w:right="160"/>
        <w:jc w:val="right"/>
        <w:textAlignment w:val="auto"/>
        <w:rPr>
          <w:rFonts w:eastAsia="仿宋_GB2312"/>
          <w:sz w:val="32"/>
          <w:szCs w:val="32"/>
        </w:rPr>
      </w:pPr>
    </w:p>
    <w:p>
      <w:pPr>
        <w:keepNext w:val="0"/>
        <w:keepLines w:val="0"/>
        <w:pageBreakBefore w:val="0"/>
        <w:kinsoku/>
        <w:wordWrap/>
        <w:overflowPunct/>
        <w:topLinePunct w:val="0"/>
        <w:bidi w:val="0"/>
        <w:spacing w:line="560" w:lineRule="exact"/>
        <w:textAlignment w:val="auto"/>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K+n0du1AQAAVQMAAA4AAAAAAAAAAQAgAAAANAEAAGRycy9lMm9E&#10;b2MueG1sUEsFBgAAAAAGAAYAWQEAAFs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21C1525"/>
    <w:rsid w:val="04A6745F"/>
    <w:rsid w:val="06AA002F"/>
    <w:rsid w:val="09AC4531"/>
    <w:rsid w:val="0B5C49A1"/>
    <w:rsid w:val="0BF423F2"/>
    <w:rsid w:val="15FBB38D"/>
    <w:rsid w:val="19211699"/>
    <w:rsid w:val="1A49594F"/>
    <w:rsid w:val="1C836E02"/>
    <w:rsid w:val="1DEFA28E"/>
    <w:rsid w:val="1DF24184"/>
    <w:rsid w:val="1EFF273B"/>
    <w:rsid w:val="1F7597E0"/>
    <w:rsid w:val="1FFF0103"/>
    <w:rsid w:val="1FFF548C"/>
    <w:rsid w:val="234D2A40"/>
    <w:rsid w:val="265E57E0"/>
    <w:rsid w:val="297DDFA8"/>
    <w:rsid w:val="2AB2772C"/>
    <w:rsid w:val="2EFB82CC"/>
    <w:rsid w:val="30664910"/>
    <w:rsid w:val="33BC222F"/>
    <w:rsid w:val="34AA48A3"/>
    <w:rsid w:val="3524554B"/>
    <w:rsid w:val="359F7EE2"/>
    <w:rsid w:val="37AD98A8"/>
    <w:rsid w:val="37F70166"/>
    <w:rsid w:val="37FF5F06"/>
    <w:rsid w:val="384B3E24"/>
    <w:rsid w:val="3B3FFD35"/>
    <w:rsid w:val="3CF615DE"/>
    <w:rsid w:val="3CFDC1D1"/>
    <w:rsid w:val="3D7B56E4"/>
    <w:rsid w:val="3DDFA196"/>
    <w:rsid w:val="3DE91B26"/>
    <w:rsid w:val="3E60543D"/>
    <w:rsid w:val="3E6D3C28"/>
    <w:rsid w:val="3E7FD615"/>
    <w:rsid w:val="3F3C1AE3"/>
    <w:rsid w:val="3F6F1E06"/>
    <w:rsid w:val="3FBBEB62"/>
    <w:rsid w:val="3FDF930E"/>
    <w:rsid w:val="3FF9BAAF"/>
    <w:rsid w:val="3FFD54EF"/>
    <w:rsid w:val="3FFE0BE2"/>
    <w:rsid w:val="456C0B61"/>
    <w:rsid w:val="45A7719E"/>
    <w:rsid w:val="468074A8"/>
    <w:rsid w:val="4757CE14"/>
    <w:rsid w:val="477D220E"/>
    <w:rsid w:val="47E319DC"/>
    <w:rsid w:val="491F7C63"/>
    <w:rsid w:val="4A5E7E75"/>
    <w:rsid w:val="4BF22C3D"/>
    <w:rsid w:val="4E3F0CEF"/>
    <w:rsid w:val="4FB976A3"/>
    <w:rsid w:val="4FFDAEC0"/>
    <w:rsid w:val="52AA4194"/>
    <w:rsid w:val="550408AC"/>
    <w:rsid w:val="576764AE"/>
    <w:rsid w:val="5965BB9F"/>
    <w:rsid w:val="596CCB45"/>
    <w:rsid w:val="59F86F12"/>
    <w:rsid w:val="5AAFAD8B"/>
    <w:rsid w:val="5B23B00E"/>
    <w:rsid w:val="5CFB76DC"/>
    <w:rsid w:val="5D7B79CC"/>
    <w:rsid w:val="5E1E1931"/>
    <w:rsid w:val="5E3F004E"/>
    <w:rsid w:val="5EDB6AF8"/>
    <w:rsid w:val="5FEFD2EB"/>
    <w:rsid w:val="6295D604"/>
    <w:rsid w:val="638E63B9"/>
    <w:rsid w:val="6476315F"/>
    <w:rsid w:val="656E2F11"/>
    <w:rsid w:val="66BC67C3"/>
    <w:rsid w:val="676FD23E"/>
    <w:rsid w:val="68336662"/>
    <w:rsid w:val="68A9378B"/>
    <w:rsid w:val="6AFDA819"/>
    <w:rsid w:val="6B7F68E3"/>
    <w:rsid w:val="6CF939C2"/>
    <w:rsid w:val="6D51190A"/>
    <w:rsid w:val="6DB15A6A"/>
    <w:rsid w:val="6DFFD5F0"/>
    <w:rsid w:val="6E04101A"/>
    <w:rsid w:val="6E7F3E17"/>
    <w:rsid w:val="6F6BFA67"/>
    <w:rsid w:val="6F6E500C"/>
    <w:rsid w:val="70A95AA7"/>
    <w:rsid w:val="7279549D"/>
    <w:rsid w:val="73DF1758"/>
    <w:rsid w:val="73EFC940"/>
    <w:rsid w:val="74BFF2DE"/>
    <w:rsid w:val="74F33F23"/>
    <w:rsid w:val="76772F36"/>
    <w:rsid w:val="76CE74D2"/>
    <w:rsid w:val="77EECECA"/>
    <w:rsid w:val="78E3C865"/>
    <w:rsid w:val="79677580"/>
    <w:rsid w:val="79DFB4B8"/>
    <w:rsid w:val="79FF4F29"/>
    <w:rsid w:val="7A8F4E71"/>
    <w:rsid w:val="7ACDE8EE"/>
    <w:rsid w:val="7B764A77"/>
    <w:rsid w:val="7BA9B400"/>
    <w:rsid w:val="7CCF49F8"/>
    <w:rsid w:val="7D0D017A"/>
    <w:rsid w:val="7DE366FE"/>
    <w:rsid w:val="7DF30E7A"/>
    <w:rsid w:val="7DF73F0B"/>
    <w:rsid w:val="7DFC8DAD"/>
    <w:rsid w:val="7E781462"/>
    <w:rsid w:val="7E7BBA94"/>
    <w:rsid w:val="7EE5C84C"/>
    <w:rsid w:val="7EEE9E0C"/>
    <w:rsid w:val="7EEFF405"/>
    <w:rsid w:val="7EF6A5E7"/>
    <w:rsid w:val="7EFD0BEF"/>
    <w:rsid w:val="7F3D2544"/>
    <w:rsid w:val="7F9FB7C9"/>
    <w:rsid w:val="7FAB4029"/>
    <w:rsid w:val="7FB2AC61"/>
    <w:rsid w:val="7FBB381C"/>
    <w:rsid w:val="7FBBCBA5"/>
    <w:rsid w:val="7FF516BE"/>
    <w:rsid w:val="7FF91C0F"/>
    <w:rsid w:val="7FFB432C"/>
    <w:rsid w:val="7FFDB398"/>
    <w:rsid w:val="7FFF4E23"/>
    <w:rsid w:val="7FFFCC02"/>
    <w:rsid w:val="876F111D"/>
    <w:rsid w:val="97FFA4AE"/>
    <w:rsid w:val="9DF57469"/>
    <w:rsid w:val="9EFDCD5D"/>
    <w:rsid w:val="9FF73FAB"/>
    <w:rsid w:val="9FFB2EC3"/>
    <w:rsid w:val="A7C5DDBD"/>
    <w:rsid w:val="ACF5EF5D"/>
    <w:rsid w:val="AFFC4B00"/>
    <w:rsid w:val="AFFF73F4"/>
    <w:rsid w:val="B6BBE943"/>
    <w:rsid w:val="B9BB70D5"/>
    <w:rsid w:val="BC379F1E"/>
    <w:rsid w:val="BD3C64D0"/>
    <w:rsid w:val="BD7B27DA"/>
    <w:rsid w:val="BDFF147A"/>
    <w:rsid w:val="BE0AE7A9"/>
    <w:rsid w:val="BEFD1108"/>
    <w:rsid w:val="BF8B1532"/>
    <w:rsid w:val="C37ECAAD"/>
    <w:rsid w:val="C7DF1BE2"/>
    <w:rsid w:val="CC6F2312"/>
    <w:rsid w:val="CE3724D7"/>
    <w:rsid w:val="CE971703"/>
    <w:rsid w:val="CFFFCCA6"/>
    <w:rsid w:val="D037E8C1"/>
    <w:rsid w:val="D7C4C6E7"/>
    <w:rsid w:val="D93BC6BB"/>
    <w:rsid w:val="DCFB267F"/>
    <w:rsid w:val="DD1D4182"/>
    <w:rsid w:val="DDD6F117"/>
    <w:rsid w:val="DDD9336A"/>
    <w:rsid w:val="DDF72CFD"/>
    <w:rsid w:val="DEABB3BE"/>
    <w:rsid w:val="DEFD5B28"/>
    <w:rsid w:val="DEFD8587"/>
    <w:rsid w:val="DFBA02F1"/>
    <w:rsid w:val="DFFF82FF"/>
    <w:rsid w:val="E7EF505E"/>
    <w:rsid w:val="EBB652C0"/>
    <w:rsid w:val="EBBE69C9"/>
    <w:rsid w:val="EBF740F1"/>
    <w:rsid w:val="ECBD93ED"/>
    <w:rsid w:val="ED72469F"/>
    <w:rsid w:val="EDD7EE9D"/>
    <w:rsid w:val="EEE746A2"/>
    <w:rsid w:val="EF1F86B0"/>
    <w:rsid w:val="EF755678"/>
    <w:rsid w:val="EFF9685F"/>
    <w:rsid w:val="EFFF3851"/>
    <w:rsid w:val="F21702DE"/>
    <w:rsid w:val="F334124A"/>
    <w:rsid w:val="F3FFC2A3"/>
    <w:rsid w:val="F6FD7EFC"/>
    <w:rsid w:val="F6FDE91E"/>
    <w:rsid w:val="F77A0839"/>
    <w:rsid w:val="F7B9BB49"/>
    <w:rsid w:val="F7FAB036"/>
    <w:rsid w:val="F7FE150A"/>
    <w:rsid w:val="F8D80372"/>
    <w:rsid w:val="F9F6ACA7"/>
    <w:rsid w:val="F9F74196"/>
    <w:rsid w:val="FA6DFD47"/>
    <w:rsid w:val="FAED1491"/>
    <w:rsid w:val="FB7DD757"/>
    <w:rsid w:val="FBA617FA"/>
    <w:rsid w:val="FCE771BF"/>
    <w:rsid w:val="FCF7721D"/>
    <w:rsid w:val="FDAFC544"/>
    <w:rsid w:val="FDB77416"/>
    <w:rsid w:val="FDC4752E"/>
    <w:rsid w:val="FDDD59B5"/>
    <w:rsid w:val="FDF781E9"/>
    <w:rsid w:val="FDFB45A1"/>
    <w:rsid w:val="FDFF92BD"/>
    <w:rsid w:val="FEF56746"/>
    <w:rsid w:val="FEFB1636"/>
    <w:rsid w:val="FEFFE652"/>
    <w:rsid w:val="FF3D2DD0"/>
    <w:rsid w:val="FF9FC38E"/>
    <w:rsid w:val="FFAE01E2"/>
    <w:rsid w:val="FFBBCF93"/>
    <w:rsid w:val="FFD74546"/>
    <w:rsid w:val="FFDD1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4"/>
    <w:unhideWhenUsed/>
    <w:qFormat/>
    <w:uiPriority w:val="0"/>
    <w:pPr>
      <w:keepNext/>
      <w:keepLines/>
      <w:spacing w:line="413" w:lineRule="auto"/>
      <w:outlineLvl w:val="1"/>
    </w:pPr>
    <w:rPr>
      <w:rFonts w:ascii="Arial" w:hAnsi="Arial" w:eastAsia="黑体" w:cstheme="minorBid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宋体" w:cs="Times New Roman"/>
      <w:kern w:val="2"/>
      <w:sz w:val="21"/>
      <w:szCs w:val="21"/>
      <w:lang w:val="en-US" w:eastAsia="zh-CN" w:bidi="ar"/>
    </w:rPr>
  </w:style>
  <w:style w:type="paragraph" w:styleId="4">
    <w:name w:val="Date"/>
    <w:basedOn w:val="1"/>
    <w:next w:val="1"/>
    <w:link w:val="20"/>
    <w:qFormat/>
    <w:uiPriority w:val="0"/>
    <w:pPr>
      <w:ind w:left="100" w:leftChars="2500"/>
    </w:pPr>
    <w:rPr>
      <w:rFonts w:ascii="Calibri" w:hAnsi="Calibri"/>
      <w:szCs w:val="22"/>
    </w:rPr>
  </w:style>
  <w:style w:type="paragraph" w:styleId="5">
    <w:name w:val="Balloon Text"/>
    <w:basedOn w:val="1"/>
    <w:link w:val="19"/>
    <w:unhideWhenUsed/>
    <w:qFormat/>
    <w:uiPriority w:val="0"/>
    <w:rPr>
      <w:sz w:val="18"/>
      <w:szCs w:val="18"/>
    </w:rPr>
  </w:style>
  <w:style w:type="paragraph" w:styleId="6">
    <w:name w:val="footer"/>
    <w:basedOn w:val="1"/>
    <w:next w:val="7"/>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next w:val="4"/>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9">
    <w:name w:val="Title"/>
    <w:basedOn w:val="1"/>
    <w:link w:val="17"/>
    <w:qFormat/>
    <w:uiPriority w:val="0"/>
    <w:pPr>
      <w:spacing w:before="240" w:after="60"/>
      <w:jc w:val="center"/>
      <w:outlineLvl w:val="0"/>
    </w:pPr>
    <w:rPr>
      <w:rFonts w:ascii="Arial" w:hAnsi="Arial" w:cs="Arial"/>
      <w:b/>
      <w:bCs/>
      <w:sz w:val="32"/>
      <w:szCs w:val="32"/>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Char"/>
    <w:basedOn w:val="11"/>
    <w:link w:val="9"/>
    <w:qFormat/>
    <w:uiPriority w:val="0"/>
    <w:rPr>
      <w:rFonts w:ascii="Arial" w:hAnsi="Arial" w:eastAsia="宋体" w:cs="Arial"/>
      <w:b/>
      <w:bCs/>
      <w:sz w:val="32"/>
      <w:szCs w:val="32"/>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批注框文本 Char"/>
    <w:basedOn w:val="11"/>
    <w:link w:val="5"/>
    <w:qFormat/>
    <w:uiPriority w:val="0"/>
    <w:rPr>
      <w:rFonts w:ascii="Times New Roman" w:hAnsi="Times New Roman" w:eastAsia="宋体" w:cs="Times New Roman"/>
      <w:sz w:val="18"/>
      <w:szCs w:val="18"/>
    </w:rPr>
  </w:style>
  <w:style w:type="character" w:customStyle="1" w:styleId="20">
    <w:name w:val="日期 Char"/>
    <w:basedOn w:val="11"/>
    <w:link w:val="4"/>
    <w:qFormat/>
    <w:uiPriority w:val="0"/>
    <w:rPr>
      <w:rFonts w:ascii="Calibri" w:hAnsi="Calibri" w:eastAsia="宋体" w:cs="Times New Roman"/>
    </w:rPr>
  </w:style>
  <w:style w:type="character" w:customStyle="1" w:styleId="21">
    <w:name w:val="font31"/>
    <w:qFormat/>
    <w:uiPriority w:val="0"/>
    <w:rPr>
      <w:rFonts w:ascii="仿宋_GB2312" w:eastAsia="仿宋_GB2312" w:cs="仿宋_GB2312"/>
      <w:color w:val="000000"/>
      <w:sz w:val="22"/>
      <w:szCs w:val="22"/>
      <w:u w:val="none"/>
    </w:rPr>
  </w:style>
  <w:style w:type="paragraph" w:customStyle="1" w:styleId="22">
    <w:name w:val="Char Char Char Char Char Char Char"/>
    <w:basedOn w:val="1"/>
    <w:qFormat/>
    <w:uiPriority w:val="0"/>
    <w:rPr>
      <w:rFonts w:ascii="Calibri" w:hAnsi="Calibri"/>
    </w:rPr>
  </w:style>
  <w:style w:type="paragraph" w:styleId="23">
    <w:name w:val="List Paragraph"/>
    <w:basedOn w:val="1"/>
    <w:qFormat/>
    <w:uiPriority w:val="34"/>
    <w:pPr>
      <w:ind w:firstLine="420" w:firstLineChars="200"/>
    </w:pPr>
  </w:style>
  <w:style w:type="character" w:customStyle="1" w:styleId="24">
    <w:name w:val="标题 2 Char"/>
    <w:basedOn w:val="11"/>
    <w:link w:val="3"/>
    <w:qFormat/>
    <w:uiPriority w:val="0"/>
    <w:rPr>
      <w:rFonts w:ascii="Arial" w:hAnsi="Arial" w:eastAsia="黑体"/>
      <w:b/>
      <w:sz w:val="32"/>
      <w:szCs w:val="24"/>
    </w:rPr>
  </w:style>
  <w:style w:type="character" w:customStyle="1" w:styleId="25">
    <w:name w:val="font21"/>
    <w:basedOn w:val="11"/>
    <w:qFormat/>
    <w:uiPriority w:val="0"/>
    <w:rPr>
      <w:rFonts w:hint="eastAsia" w:ascii="宋体" w:hAnsi="宋体" w:eastAsia="宋体" w:cs="宋体"/>
      <w:color w:val="000000"/>
      <w:sz w:val="18"/>
      <w:szCs w:val="18"/>
      <w:u w:val="none"/>
    </w:rPr>
  </w:style>
  <w:style w:type="character" w:customStyle="1" w:styleId="26">
    <w:name w:val="font41"/>
    <w:basedOn w:val="11"/>
    <w:qFormat/>
    <w:uiPriority w:val="0"/>
    <w:rPr>
      <w:rFonts w:hint="eastAsia" w:ascii="宋体" w:hAnsi="宋体" w:eastAsia="宋体" w:cs="宋体"/>
      <w:color w:val="000000"/>
      <w:sz w:val="24"/>
      <w:szCs w:val="24"/>
      <w:u w:val="none"/>
    </w:rPr>
  </w:style>
  <w:style w:type="character" w:customStyle="1" w:styleId="27">
    <w:name w:val="font51"/>
    <w:basedOn w:val="1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3178</Words>
  <Characters>3678</Characters>
  <Lines>72</Lines>
  <Paragraphs>20</Paragraphs>
  <TotalTime>1</TotalTime>
  <ScaleCrop>false</ScaleCrop>
  <LinksUpToDate>false</LinksUpToDate>
  <CharactersWithSpaces>4005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2019-08-29T18:01:00Z</dcterms:created>
  <dc:creator>lenovo</dc:creator>
  <cp:lastModifiedBy>kylin</cp:lastModifiedBy>
  <cp:lastPrinted>2021-12-01T16:18:00Z</cp:lastPrinted>
  <dcterms:modified xsi:type="dcterms:W3CDTF">2025-09-25T17:26:53Z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E9903ECDA45F4447AA5736D5B5ECE74F_13</vt:lpwstr>
  </property>
  <property fmtid="{D5CDD505-2E9C-101B-9397-08002B2CF9AE}" pid="4" name="KSOTemplateDocerSaveRecord">
    <vt:lpwstr>eyJoZGlkIjoiY2RiZTJhNzRjYzJhNTYwMjI4MjEwMzQ1YjFjYmYwNGMiLCJ1c2VySWQiOiIyMzQzMjgxMTQifQ==</vt:lpwstr>
  </property>
</Properties>
</file>