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rPr>
          <w:rFonts w:ascii="宋体" w:hAnsi="宋体" w:cs="宋体"/>
          <w:b/>
          <w:color w:val="000000"/>
          <w:kern w:val="0"/>
          <w:sz w:val="44"/>
          <w:szCs w:val="44"/>
        </w:rPr>
      </w:pPr>
      <w:r>
        <w:rPr>
          <w:rFonts w:hint="eastAsia" w:ascii="宋体" w:hAnsi="宋体" w:cs="宋体"/>
          <w:b/>
          <w:color w:val="000000"/>
          <w:kern w:val="0"/>
          <w:sz w:val="44"/>
          <w:szCs w:val="44"/>
        </w:rPr>
        <w:t>金凤区退役军人事务局2020年部门预算</w:t>
      </w:r>
    </w:p>
    <w:p>
      <w:pPr>
        <w:widowControl/>
        <w:jc w:val="center"/>
        <w:outlineLvl w:val="1"/>
        <w:rPr>
          <w:rFonts w:ascii="仿宋_GB2312" w:eastAsia="仿宋_GB2312"/>
          <w:b/>
          <w:kern w:val="0"/>
          <w:sz w:val="36"/>
          <w:szCs w:val="36"/>
        </w:rPr>
      </w:pPr>
      <w:r>
        <w:rPr>
          <w:rFonts w:hint="eastAsia" w:ascii="仿宋_GB2312" w:hAnsi="宋体" w:eastAsia="仿宋_GB2312"/>
          <w:b/>
          <w:kern w:val="0"/>
          <w:sz w:val="36"/>
          <w:szCs w:val="36"/>
        </w:rPr>
        <w:t>目录</w:t>
      </w:r>
    </w:p>
    <w:p>
      <w:pPr>
        <w:widowControl/>
        <w:jc w:val="center"/>
        <w:outlineLvl w:val="1"/>
        <w:rPr>
          <w:rFonts w:ascii="仿宋_GB2312" w:eastAsia="仿宋_GB2312"/>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第一部分单位概况</w:t>
      </w: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拟订</w:t>
      </w:r>
      <w:r>
        <w:rPr>
          <w:rFonts w:hint="eastAsia" w:ascii="仿宋_GB2312" w:hAnsi="仿宋_GB2312" w:eastAsia="仿宋_GB2312" w:cs="仿宋_GB2312"/>
          <w:sz w:val="32"/>
          <w:szCs w:val="32"/>
        </w:rPr>
        <w:t>金凤区退役军人思想政治、管理保障、安置优抚和拥军优属拥政爱民等工作的规范性文件，编制年度工作计划，并组织实施。</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（2）负责军队转业干部、复员干部、离休退休干部、退役士兵和无军籍退休退职职工的移交安置和自主择业、就业退役军人服务管理工作。</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（3）组织开展退役军人教育培训工作，协调扶持退役军人和随调随军家属就业创业。会同有关部门制定金凤区退役军人特殊保障政策，并组织实施。</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(4）负责伤病残退役军人服务管理和抚恤工作，贯彻落实中央、自治区、银川市有关退役军人医疗、疗养、养老等机构的规划、政策并组织实施；承担不适宜继续服役的伤病残军人相关工作。</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（5）组织开展金凤区拥军优属拥政爱民工作,负责现役军人、退役军人、军队文职人员和军属优待、抚恤等工作，贯彻国家、自治区、银川市关于落实国民党抗战老兵等有关人员优待政策并组织实施。</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（6）负责烈士及退役军人荣誉奖励、军人公墓管理维护、纪念活动等工作，依法承担英雄烈士保护相关工作，总结表彰和宣扬退役军人、退役军人工作单位和个人先进典型事迹。</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（7）指导监督检查退役军人相关法律法规和政策措施的落实，组织开展退役军人权益维护和有关人员的帮扶援助工作。负责做好退役军人法律法规政策宣传、咨询工作，做好退役军人来信来访工作。</w:t>
      </w:r>
    </w:p>
    <w:p>
      <w:pPr>
        <w:widowControl/>
        <w:outlineLvl w:val="1"/>
        <w:rPr>
          <w:rFonts w:ascii="仿宋_GB2312" w:hAnsi="宋体" w:eastAsia="仿宋_GB2312"/>
          <w:b/>
          <w:bCs w:val="0"/>
          <w:kern w:val="0"/>
          <w:sz w:val="32"/>
          <w:szCs w:val="32"/>
        </w:rPr>
      </w:pPr>
      <w:r>
        <w:rPr>
          <w:rFonts w:hint="eastAsia" w:ascii="仿宋" w:hAnsi="仿宋" w:eastAsia="仿宋" w:cs="宋体"/>
          <w:b/>
          <w:bCs w:val="0"/>
          <w:kern w:val="0"/>
          <w:sz w:val="32"/>
          <w:szCs w:val="32"/>
        </w:rPr>
        <w:t xml:space="preserve">    </w:t>
      </w:r>
      <w:r>
        <w:rPr>
          <w:rFonts w:hint="eastAsia" w:ascii="仿宋_GB2312" w:hAnsi="宋体" w:eastAsia="仿宋_GB2312"/>
          <w:b/>
          <w:bCs w:val="0"/>
          <w:kern w:val="0"/>
          <w:sz w:val="32"/>
          <w:szCs w:val="32"/>
        </w:rPr>
        <w:t>二、部门预算单位构成</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纳入金凤区财政2020年部门预算编制的一级预算单位。</w:t>
      </w:r>
      <w:bookmarkStart w:id="0" w:name="_GoBack"/>
      <w:bookmarkEnd w:id="0"/>
    </w:p>
    <w:p>
      <w:pPr>
        <w:widowControl/>
        <w:spacing w:line="560" w:lineRule="exact"/>
        <w:ind w:firstLine="480"/>
        <w:jc w:val="left"/>
        <w:rPr>
          <w:rFonts w:ascii="仿宋" w:hAnsi="仿宋" w:eastAsia="仿宋" w:cs="宋体"/>
          <w:kern w:val="0"/>
          <w:sz w:val="32"/>
          <w:szCs w:val="32"/>
        </w:rPr>
      </w:pPr>
    </w:p>
    <w:p>
      <w:pPr>
        <w:widowControl/>
        <w:outlineLvl w:val="1"/>
        <w:rPr>
          <w:rFonts w:ascii="仿宋_GB2312" w:hAnsi="宋体" w:eastAsia="仿宋_GB2312"/>
          <w:kern w:val="0"/>
          <w:sz w:val="32"/>
          <w:szCs w:val="32"/>
        </w:rPr>
      </w:pPr>
    </w:p>
    <w:p>
      <w:pPr>
        <w:widowControl/>
        <w:spacing w:line="560" w:lineRule="exact"/>
        <w:ind w:firstLine="480"/>
        <w:jc w:val="left"/>
        <w:rPr>
          <w:rFonts w:ascii="仿宋" w:hAnsi="仿宋" w:eastAsia="仿宋" w:cs="宋体"/>
          <w:kern w:val="0"/>
          <w:sz w:val="32"/>
          <w:szCs w:val="3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ectPr>
          <w:headerReference r:id="rId3" w:type="default"/>
          <w:pgSz w:w="11906" w:h="16838"/>
          <w:pgMar w:top="1440" w:right="1800" w:bottom="1440" w:left="1800" w:header="851" w:footer="992" w:gutter="0"/>
          <w:cols w:space="720" w:num="1"/>
          <w:docGrid w:type="lines"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金凤区退役军人事务局2020年部门预算——预算表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761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761</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761</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761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725.82</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725.82</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18.59</w:t>
            </w:r>
          </w:p>
        </w:tc>
        <w:tc>
          <w:tcPr>
            <w:tcW w:w="13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18.59</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7.74</w:t>
            </w:r>
          </w:p>
        </w:tc>
        <w:tc>
          <w:tcPr>
            <w:tcW w:w="136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7.74</w:t>
            </w:r>
          </w:p>
        </w:tc>
        <w:tc>
          <w:tcPr>
            <w:tcW w:w="136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8.85</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8.85</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761</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支出总计761</w:t>
            </w:r>
          </w:p>
        </w:tc>
      </w:tr>
    </w:tbl>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767" w:type="dxa"/>
        <w:tblInd w:w="91" w:type="dxa"/>
        <w:tblLayout w:type="fixed"/>
        <w:tblCellMar>
          <w:top w:w="0" w:type="dxa"/>
          <w:left w:w="108" w:type="dxa"/>
          <w:bottom w:w="0" w:type="dxa"/>
          <w:right w:w="108" w:type="dxa"/>
        </w:tblCellMar>
      </w:tblPr>
      <w:tblGrid>
        <w:gridCol w:w="1097"/>
        <w:gridCol w:w="1440"/>
        <w:gridCol w:w="1247"/>
        <w:gridCol w:w="1247"/>
        <w:gridCol w:w="1247"/>
        <w:gridCol w:w="1247"/>
        <w:gridCol w:w="1247"/>
        <w:gridCol w:w="1247"/>
        <w:gridCol w:w="1247"/>
        <w:gridCol w:w="1247"/>
        <w:gridCol w:w="1254"/>
      </w:tblGrid>
      <w:tr>
        <w:tblPrEx>
          <w:tblLayout w:type="fixed"/>
          <w:tblCellMar>
            <w:top w:w="0" w:type="dxa"/>
            <w:left w:w="108" w:type="dxa"/>
            <w:bottom w:w="0" w:type="dxa"/>
            <w:right w:w="108" w:type="dxa"/>
          </w:tblCellMar>
        </w:tblPrEx>
        <w:trPr>
          <w:trHeight w:val="555" w:hRule="atLeast"/>
        </w:trPr>
        <w:tc>
          <w:tcPr>
            <w:tcW w:w="25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预算安排总计</w:t>
            </w:r>
          </w:p>
        </w:tc>
        <w:tc>
          <w:tcPr>
            <w:tcW w:w="4988" w:type="dxa"/>
            <w:gridSpan w:val="4"/>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rPr>
                <w:b/>
                <w:color w:val="000000"/>
                <w:kern w:val="0"/>
                <w:szCs w:val="21"/>
              </w:rPr>
            </w:pPr>
            <w:r>
              <w:rPr>
                <w:rFonts w:hint="eastAsia" w:ascii="宋体" w:hAnsi="宋体" w:cs="宋体"/>
                <w:b/>
                <w:bCs/>
                <w:color w:val="000000"/>
                <w:kern w:val="0"/>
                <w:szCs w:val="21"/>
              </w:rPr>
              <w:t>一般公共财政预算拨款支出</w:t>
            </w:r>
          </w:p>
        </w:tc>
        <w:tc>
          <w:tcPr>
            <w:tcW w:w="4995" w:type="dxa"/>
            <w:gridSpan w:val="4"/>
            <w:tcBorders>
              <w:top w:val="single" w:color="auto" w:sz="4" w:space="0"/>
              <w:left w:val="nil"/>
              <w:bottom w:val="single" w:color="auto" w:sz="4" w:space="0"/>
              <w:right w:val="single" w:color="auto" w:sz="4" w:space="0"/>
            </w:tcBorders>
            <w:vAlign w:val="center"/>
          </w:tcPr>
          <w:p>
            <w:pPr>
              <w:widowControl/>
              <w:jc w:val="center"/>
              <w:rPr>
                <w:b/>
                <w:color w:val="000000"/>
                <w:kern w:val="0"/>
                <w:szCs w:val="21"/>
              </w:rPr>
            </w:pPr>
            <w:r>
              <w:rPr>
                <w:rFonts w:hint="eastAsia"/>
                <w:b/>
                <w:color w:val="000000"/>
                <w:kern w:val="0"/>
                <w:szCs w:val="21"/>
              </w:rPr>
              <w:t>政府性基金预算财政拨款支出</w:t>
            </w:r>
          </w:p>
        </w:tc>
      </w:tr>
      <w:tr>
        <w:tblPrEx>
          <w:tblLayout w:type="fixed"/>
          <w:tblCellMar>
            <w:top w:w="0" w:type="dxa"/>
            <w:left w:w="108" w:type="dxa"/>
            <w:bottom w:w="0" w:type="dxa"/>
            <w:right w:w="108" w:type="dxa"/>
          </w:tblCellMar>
        </w:tblPrEx>
        <w:trPr>
          <w:trHeight w:val="103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科目编码</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科目名称</w:t>
            </w:r>
          </w:p>
        </w:tc>
        <w:tc>
          <w:tcPr>
            <w:tcW w:w="12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专项转移支付安排支出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一般性转移支付安排支出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专项转移支付安排支出</w:t>
            </w:r>
          </w:p>
        </w:tc>
        <w:tc>
          <w:tcPr>
            <w:tcW w:w="12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一般性转移支付安排支出</w:t>
            </w:r>
          </w:p>
        </w:tc>
      </w:tr>
      <w:tr>
        <w:tblPrEx>
          <w:tblLayout w:type="fixed"/>
          <w:tblCellMar>
            <w:top w:w="0" w:type="dxa"/>
            <w:left w:w="108" w:type="dxa"/>
            <w:bottom w:w="0" w:type="dxa"/>
            <w:right w:w="108" w:type="dxa"/>
          </w:tblCellMar>
        </w:tblPrEx>
        <w:trPr>
          <w:trHeight w:val="55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机关事业单位养老保险缴费</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12.73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12.73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12.73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5"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2080506</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职业年金缴费</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5.09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59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2080599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其他行政事业单位养老保险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0.77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0.77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0.77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21"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2082801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行政运行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113.26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113.26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113.26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14"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行政单位医疗</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2101103</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公务员医疗补助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2.26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2.26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2.26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8.85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8.85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8.85</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513"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2080805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义务兵优待</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465.32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465.32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465.32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2082801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56.77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56.77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56.77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2082804</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拥军优属</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84.76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84.76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84.76</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2082899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其他退役军人事务管理支出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宋体" w:hAnsi="宋体" w:cs="宋体"/>
                <w:color w:val="000000"/>
                <w:kern w:val="0"/>
                <w:sz w:val="20"/>
                <w:szCs w:val="20"/>
              </w:rPr>
            </w:pPr>
            <w:r>
              <w:rPr>
                <w:rFonts w:hint="eastAsia" w:ascii="宋体" w:hAnsi="宋体" w:cs="宋体"/>
                <w:color w:val="000000"/>
                <w:kern w:val="0"/>
                <w:sz w:val="20"/>
                <w:szCs w:val="20"/>
              </w:rPr>
              <w:t>5.7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cs="宋体"/>
                <w:color w:val="000000"/>
                <w:kern w:val="0"/>
                <w:sz w:val="20"/>
                <w:szCs w:val="20"/>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c>
          <w:tcPr>
            <w:tcW w:w="1254" w:type="dxa"/>
            <w:tcBorders>
              <w:top w:val="single" w:color="000000" w:sz="8" w:space="0"/>
              <w:left w:val="single" w:color="000000" w:sz="8" w:space="0"/>
              <w:bottom w:val="single" w:color="000000" w:sz="8" w:space="0"/>
              <w:right w:val="single" w:color="000000" w:sz="8" w:space="0"/>
            </w:tcBorders>
            <w:shd w:val="clear" w:color="auto" w:fill="FFFFFF"/>
          </w:tcPr>
          <w:p>
            <w:pPr>
              <w:widowControl/>
              <w:jc w:val="left"/>
              <w:rPr>
                <w:color w:val="000000"/>
                <w:kern w:val="0"/>
                <w:sz w:val="20"/>
                <w:szCs w:val="20"/>
              </w:rPr>
            </w:pPr>
          </w:p>
        </w:tc>
      </w:tr>
    </w:tbl>
    <w:p/>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2020年预算数与2019年执行数（决算数）</w:t>
            </w:r>
          </w:p>
        </w:tc>
      </w:tr>
      <w:tr>
        <w:tblPrEx>
          <w:tblLayout w:type="fixed"/>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b/>
                <w:bCs/>
                <w:color w:val="000000"/>
                <w:kern w:val="0"/>
                <w:szCs w:val="21"/>
              </w:rPr>
              <w:t>科目编码</w:t>
            </w:r>
          </w:p>
        </w:tc>
        <w:tc>
          <w:tcPr>
            <w:tcW w:w="198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b/>
                <w:bCs/>
                <w:color w:val="000000"/>
                <w:kern w:val="0"/>
                <w:szCs w:val="21"/>
              </w:rPr>
              <w:t>科目名称</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2080505</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机关事业单位养老保险缴费</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7.68　</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12.73</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12.73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增加5.05</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增65.8%</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2080506</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职业年金缴费</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5.09</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5.09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增加5.09</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2080599</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其他行政事业单位养老保险</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0.77</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0.77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增加0.77</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2082801</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行政运行</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96.09</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113.26</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113.26</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增加33.18</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增34.5%</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2101101</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行政单位医疗</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3.52</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5.48</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5.48</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增加1.96</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增55.7%</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2101103</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公务员医疗补助　</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1.55</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2.26</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2.26</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增加0.71</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增45.8%</w:t>
            </w:r>
          </w:p>
        </w:tc>
      </w:tr>
      <w:tr>
        <w:tblPrEx>
          <w:tblLayout w:type="fixed"/>
          <w:tblCellMar>
            <w:top w:w="0" w:type="dxa"/>
            <w:left w:w="108" w:type="dxa"/>
            <w:bottom w:w="0" w:type="dxa"/>
            <w:right w:w="108" w:type="dxa"/>
          </w:tblCellMar>
        </w:tblPrEx>
        <w:trPr>
          <w:trHeight w:val="614" w:hRule="atLeast"/>
        </w:trPr>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2210201</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住房公积金</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5.58</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8.85</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8.58</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增加3.27</w:t>
            </w:r>
          </w:p>
        </w:tc>
        <w:tc>
          <w:tcPr>
            <w:tcW w:w="1454" w:type="dxa"/>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增58.6%</w:t>
            </w:r>
          </w:p>
        </w:tc>
      </w:tr>
      <w:tr>
        <w:tblPrEx>
          <w:tblLayout w:type="fixed"/>
          <w:tblCellMar>
            <w:top w:w="0" w:type="dxa"/>
            <w:left w:w="108" w:type="dxa"/>
            <w:bottom w:w="0" w:type="dxa"/>
            <w:right w:w="108" w:type="dxa"/>
          </w:tblCellMar>
        </w:tblPrEx>
        <w:trPr>
          <w:trHeight w:val="614" w:hRule="atLeast"/>
        </w:trPr>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2080805</w:t>
            </w:r>
          </w:p>
        </w:tc>
        <w:tc>
          <w:tcPr>
            <w:tcW w:w="198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义务兵优待</w:t>
            </w:r>
          </w:p>
        </w:tc>
        <w:tc>
          <w:tcPr>
            <w:tcW w:w="1779"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8.16</w:t>
            </w:r>
          </w:p>
        </w:tc>
        <w:tc>
          <w:tcPr>
            <w:tcW w:w="1620" w:type="dxa"/>
            <w:tcBorders>
              <w:top w:val="single" w:color="auto" w:sz="4" w:space="0"/>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980" w:type="dxa"/>
            <w:tcBorders>
              <w:top w:val="single" w:color="auto" w:sz="4" w:space="0"/>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465.32</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增加457.16</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增5602%</w:t>
            </w:r>
          </w:p>
        </w:tc>
      </w:tr>
      <w:tr>
        <w:tblPrEx>
          <w:tblLayout w:type="fixed"/>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2082801</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行政运行</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56.77</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增加56.77</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2082804</w:t>
            </w:r>
          </w:p>
        </w:tc>
        <w:tc>
          <w:tcPr>
            <w:tcW w:w="1980"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拥军优属</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8.65　</w:t>
            </w:r>
          </w:p>
        </w:tc>
        <w:tc>
          <w:tcPr>
            <w:tcW w:w="162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84.76</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增加76.11</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增879.9%</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2082899</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其他退役军人事务管理支出</w:t>
            </w:r>
          </w:p>
        </w:tc>
        <w:tc>
          <w:tcPr>
            <w:tcW w:w="1779" w:type="dxa"/>
            <w:tcBorders>
              <w:top w:val="single" w:color="auto" w:sz="4" w:space="0"/>
              <w:left w:val="single" w:color="auto" w:sz="4" w:space="0"/>
              <w:bottom w:val="single" w:color="auto" w:sz="4" w:space="0"/>
              <w:right w:val="single" w:color="auto" w:sz="4" w:space="0"/>
            </w:tcBorders>
            <w:shd w:val="clear" w:color="auto" w:fill="auto"/>
          </w:tcPr>
          <w:p>
            <w:pPr>
              <w:widowControl/>
              <w:jc w:val="right"/>
              <w:rPr>
                <w:rFonts w:ascii="宋体" w:hAnsi="宋体" w:cs="宋体"/>
                <w:kern w:val="0"/>
                <w:sz w:val="20"/>
                <w:szCs w:val="20"/>
              </w:rPr>
            </w:pPr>
            <w:r>
              <w:rPr>
                <w:rFonts w:hint="eastAsia" w:ascii="宋体" w:hAnsi="宋体" w:cs="宋体"/>
                <w:kern w:val="0"/>
                <w:sz w:val="20"/>
                <w:szCs w:val="20"/>
              </w:rPr>
              <w:t>56.27</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pPr>
              <w:widowControl/>
              <w:jc w:val="right"/>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color w:val="000000"/>
                <w:kern w:val="0"/>
                <w:sz w:val="20"/>
                <w:szCs w:val="20"/>
              </w:rPr>
              <w:t>5.7</w:t>
            </w:r>
          </w:p>
        </w:tc>
        <w:tc>
          <w:tcPr>
            <w:tcW w:w="1260" w:type="dxa"/>
            <w:gridSpan w:val="2"/>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减少50.57</w:t>
            </w:r>
          </w:p>
        </w:tc>
        <w:tc>
          <w:tcPr>
            <w:tcW w:w="1454" w:type="dxa"/>
            <w:tcBorders>
              <w:top w:val="single" w:color="auto" w:sz="4" w:space="0"/>
              <w:left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减89.9%</w:t>
            </w:r>
          </w:p>
        </w:tc>
      </w:tr>
    </w:tbl>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p>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四、一般公共预算财政拨款基本支出表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148.44</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139.06</w:t>
            </w: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9.38</w:t>
            </w: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125.83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125.83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37.5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37.5</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28.09</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28.09</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17.53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17.53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w:t>
            </w:r>
          </w:p>
        </w:tc>
        <w:tc>
          <w:tcPr>
            <w:tcW w:w="2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12.73</w:t>
            </w:r>
          </w:p>
        </w:tc>
        <w:tc>
          <w:tcPr>
            <w:tcW w:w="270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12.73</w:t>
            </w:r>
          </w:p>
        </w:tc>
        <w:tc>
          <w:tcPr>
            <w:tcW w:w="2340" w:type="dxa"/>
            <w:tcBorders>
              <w:top w:val="single" w:color="auto" w:sz="4" w:space="0"/>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5.09</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5.09</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5.48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5.48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2.26</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2.26</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1.72</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1.72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8.85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8.85</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6.58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6.58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9.38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9.38</w:t>
            </w: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0.5</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0.5</w:t>
            </w: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single" w:color="auto" w:sz="4" w:space="0"/>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0.5</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single" w:color="auto" w:sz="4" w:space="0"/>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0.8</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1.3</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1.3</w:t>
            </w: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4.284</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4.284</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13.2</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13.2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13.23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13.23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0.0294</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0.0294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bl>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p>
    <w:p>
      <w:pPr>
        <w:widowControl/>
        <w:outlineLvl w:val="1"/>
        <w:rPr>
          <w:rFonts w:ascii="黑体" w:hAnsi="宋体" w:eastAsia="黑体"/>
          <w:b/>
          <w:kern w:val="0"/>
          <w:sz w:val="32"/>
          <w:szCs w:val="32"/>
        </w:rPr>
      </w:pPr>
      <w:r>
        <w:rPr>
          <w:rFonts w:hint="eastAsia" w:ascii="黑体" w:hAnsi="宋体" w:eastAsia="黑体"/>
          <w:b/>
          <w:kern w:val="0"/>
          <w:sz w:val="32"/>
          <w:szCs w:val="32"/>
        </w:rPr>
        <w:t>五、一般公共预算财政拨款“三公”经费支出表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0</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27" w:firstLineChars="196"/>
        <w:outlineLvl w:val="1"/>
        <w:rPr>
          <w:rFonts w:ascii="仿宋" w:hAnsi="仿宋" w:eastAsia="仿宋"/>
          <w:kern w:val="0"/>
          <w:sz w:val="32"/>
          <w:szCs w:val="32"/>
        </w:rPr>
      </w:pPr>
      <w:r>
        <w:rPr>
          <w:rFonts w:hint="eastAsia" w:ascii="仿宋" w:hAnsi="仿宋" w:eastAsia="仿宋"/>
          <w:kern w:val="0"/>
          <w:sz w:val="32"/>
          <w:szCs w:val="32"/>
        </w:rPr>
        <w:t>我单位2020年无“三公”经费支出。</w:t>
      </w: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六、政府性基金预算财政拨款支出表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p>
      <w:pPr>
        <w:widowControl/>
        <w:ind w:firstLine="640" w:firstLineChars="200"/>
        <w:jc w:val="center"/>
        <w:outlineLvl w:val="1"/>
        <w:rPr>
          <w:rFonts w:ascii="仿宋_GB2312" w:hAnsi="宋体" w:eastAsia="仿宋_GB2312"/>
          <w:kern w:val="0"/>
          <w:sz w:val="32"/>
          <w:szCs w:val="32"/>
        </w:rPr>
      </w:pPr>
      <w:r>
        <w:rPr>
          <w:rFonts w:hint="eastAsia" w:ascii="仿宋_GB2312" w:hAnsi="宋体" w:eastAsia="仿宋_GB2312"/>
          <w:kern w:val="0"/>
          <w:sz w:val="32"/>
          <w:szCs w:val="32"/>
        </w:rPr>
        <w:t>单位：万元</w:t>
      </w:r>
    </w:p>
    <w:tbl>
      <w:tblPr>
        <w:tblStyle w:val="9"/>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2020年预算数与2019年执行数（决算数）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bottom w:val="single" w:color="auto" w:sz="4" w:space="0"/>
              <w:right w:val="single" w:color="auto" w:sz="4" w:space="0"/>
            </w:tcBorders>
          </w:tcPr>
          <w:p>
            <w:pPr>
              <w:widowControl/>
              <w:jc w:val="center"/>
              <w:rPr>
                <w:kern w:val="0"/>
                <w:sz w:val="20"/>
                <w:szCs w:val="20"/>
              </w:rPr>
            </w:pPr>
            <w:r>
              <w:rPr>
                <w:rFonts w:hint="eastAsia"/>
                <w:kern w:val="0"/>
                <w:sz w:val="20"/>
                <w:szCs w:val="20"/>
              </w:rPr>
              <w:t>0</w:t>
            </w:r>
          </w:p>
        </w:tc>
        <w:tc>
          <w:tcPr>
            <w:tcW w:w="1418" w:type="dxa"/>
            <w:tcBorders>
              <w:top w:val="single" w:color="auto" w:sz="4" w:space="0"/>
              <w:bottom w:val="single" w:color="auto" w:sz="4" w:space="0"/>
              <w:right w:val="single" w:color="auto" w:sz="4" w:space="0"/>
            </w:tcBorders>
          </w:tcPr>
          <w:p>
            <w:pPr>
              <w:widowControl/>
              <w:jc w:val="center"/>
              <w:rPr>
                <w:kern w:val="0"/>
                <w:sz w:val="20"/>
                <w:szCs w:val="20"/>
              </w:rPr>
            </w:pPr>
            <w:r>
              <w:rPr>
                <w:rFonts w:hint="eastAsia"/>
                <w:kern w:val="0"/>
                <w:sz w:val="20"/>
                <w:szCs w:val="20"/>
              </w:rPr>
              <w:t>0</w:t>
            </w:r>
          </w:p>
        </w:tc>
      </w:tr>
      <w:tr>
        <w:tblPrEx>
          <w:tblLayout w:type="fixed"/>
          <w:tblCellMar>
            <w:top w:w="0" w:type="dxa"/>
            <w:left w:w="108" w:type="dxa"/>
            <w:bottom w:w="0" w:type="dxa"/>
            <w:right w:w="108" w:type="dxa"/>
          </w:tblCellMar>
        </w:tblPrEx>
        <w:trPr>
          <w:trHeight w:val="437"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我单位2020年无政府性基金预算财政拨款收支。</w:t>
      </w: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9"/>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761</w:t>
            </w:r>
          </w:p>
        </w:tc>
      </w:tr>
    </w:tbl>
    <w:p>
      <w:pPr>
        <w:widowControl/>
        <w:ind w:firstLine="640" w:firstLineChars="200"/>
        <w:outlineLvl w:val="1"/>
        <w:rPr>
          <w:rFonts w:ascii="仿宋_GB2312" w:hAnsi="宋体" w:eastAsia="仿宋_GB2312"/>
          <w:kern w:val="0"/>
          <w:sz w:val="32"/>
          <w:szCs w:val="32"/>
        </w:rPr>
      </w:pPr>
    </w:p>
    <w:p>
      <w:pPr>
        <w:widowControl/>
        <w:jc w:val="left"/>
        <w:outlineLvl w:val="1"/>
        <w:rPr>
          <w:rFonts w:ascii="仿宋_GB2312" w:hAnsi="宋体" w:eastAsia="仿宋_GB2312"/>
          <w:kern w:val="0"/>
          <w:sz w:val="32"/>
          <w:szCs w:val="32"/>
        </w:rPr>
      </w:pPr>
    </w:p>
    <w:p>
      <w:pPr>
        <w:widowControl/>
        <w:ind w:firstLine="640" w:firstLineChars="200"/>
        <w:jc w:val="left"/>
        <w:outlineLvl w:val="1"/>
        <w:rPr>
          <w:rFonts w:ascii="黑体" w:hAnsi="宋体" w:eastAsia="黑体"/>
          <w:b/>
          <w:bCs/>
          <w:kern w:val="0"/>
          <w:sz w:val="32"/>
          <w:szCs w:val="32"/>
        </w:rPr>
      </w:pPr>
    </w:p>
    <w:p>
      <w:pPr>
        <w:widowControl/>
        <w:ind w:firstLine="640" w:firstLineChars="200"/>
        <w:jc w:val="left"/>
        <w:outlineLvl w:val="1"/>
        <w:rPr>
          <w:rFonts w:ascii="黑体" w:hAnsi="宋体" w:eastAsia="黑体"/>
          <w:b/>
          <w:bCs/>
          <w:kern w:val="0"/>
          <w:sz w:val="32"/>
          <w:szCs w:val="32"/>
        </w:rPr>
      </w:pPr>
      <w:r>
        <w:rPr>
          <w:rFonts w:hint="eastAsia" w:ascii="黑体" w:hAnsi="宋体" w:eastAsia="黑体"/>
          <w:b/>
          <w:bCs/>
          <w:kern w:val="0"/>
          <w:sz w:val="32"/>
          <w:szCs w:val="32"/>
        </w:rPr>
        <w:t>八、部门收入总表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90" w:type="dxa"/>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761</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761</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761</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九、部门支出总表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szCs w:val="21"/>
        </w:rPr>
      </w:pPr>
      <w:r>
        <w:rPr>
          <w:rFonts w:hint="eastAsia" w:ascii="仿宋_GB2312" w:hAnsi="宋体" w:eastAsia="仿宋_GB2312"/>
          <w:kern w:val="0"/>
          <w:sz w:val="32"/>
          <w:szCs w:val="32"/>
        </w:rPr>
        <w:t xml:space="preserve">                                                                           单位：万元</w:t>
      </w:r>
    </w:p>
    <w:tbl>
      <w:tblPr>
        <w:tblStyle w:val="9"/>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20"/>
                <w:szCs w:val="20"/>
              </w:rPr>
              <w:t>2080505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20"/>
                <w:szCs w:val="20"/>
              </w:rPr>
              <w:t>12.73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20"/>
                <w:szCs w:val="20"/>
              </w:rPr>
              <w:t>12.73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2080506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5.09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5.09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2080599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0.77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0.77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2082801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113.26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113.26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2101101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5.48</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5.48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2101103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2.26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2.26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2210201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8.85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8.85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2080805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465.32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465.32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2082801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56.77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56.77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2082804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84.76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84.76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Calibri" w:hAnsi="Calibri" w:cs="宋体"/>
                <w:color w:val="000000"/>
                <w:kern w:val="0"/>
                <w:sz w:val="22"/>
                <w:szCs w:val="22"/>
              </w:rPr>
            </w:pPr>
            <w:r>
              <w:rPr>
                <w:rFonts w:hint="eastAsia" w:ascii="宋体" w:hAnsi="宋体" w:cs="宋体"/>
                <w:color w:val="000000"/>
                <w:kern w:val="0"/>
                <w:sz w:val="20"/>
                <w:szCs w:val="20"/>
              </w:rPr>
              <w:t>2082899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Calibri" w:hAnsi="Calibri" w:cs="宋体"/>
                <w:color w:val="000000"/>
                <w:kern w:val="0"/>
                <w:sz w:val="22"/>
                <w:szCs w:val="22"/>
              </w:rPr>
            </w:pPr>
            <w:r>
              <w:rPr>
                <w:rFonts w:hint="eastAsia" w:ascii="宋体" w:hAnsi="宋体" w:cs="宋体"/>
                <w:color w:val="000000"/>
                <w:kern w:val="0"/>
                <w:sz w:val="20"/>
                <w:szCs w:val="20"/>
              </w:rPr>
              <w:t>5.7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01" w:right="1440" w:bottom="1701" w:left="1440" w:header="851" w:footer="992" w:gutter="0"/>
          <w:cols w:space="720" w:num="1"/>
          <w:docGrid w:type="linesAndChars" w:linePitch="312" w:charSpace="0"/>
        </w:sectPr>
      </w:pP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金凤区退役军人事务局2020年部门预算—－部门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预算情况说明</w:t>
      </w:r>
    </w:p>
    <w:p>
      <w:pPr>
        <w:widowControl/>
        <w:jc w:val="left"/>
        <w:outlineLvl w:val="1"/>
        <w:rPr>
          <w:rFonts w:ascii="仿宋_GB2312" w:hAnsi="宋体" w:eastAsia="仿宋_GB2312"/>
          <w:b/>
          <w:bCs/>
          <w:kern w:val="0"/>
          <w:sz w:val="36"/>
          <w:szCs w:val="36"/>
        </w:rPr>
      </w:pP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一、关于金凤区退役军人事务局2020年财政拨款收支预算情况的总体说明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金凤区退役军人事务局2020年财政拨款收入预算761万元，其中：本年收入761万元，包括一般公共预算拨款761 万元。包括：一般公共服务支出725.82 万元、社会保障和就业支出18.59万元、卫生健康支出7.74万元、住房保障支出8.85万元。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二、关于金凤区退役军人事务局2020年一般公共预算财政拨款支出情况说明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金凤区退役军人事务局2020年一般公共预算财政拨款基本支出148.44万元，其中：本年收入安排支出148.44万元，比2019年执行数（决算数）增加34.02万元，增长29.7  %。</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人员经费139.06万元，主要包括：基本工资37.5万元、津贴补贴28.09万元、奖金17.53万元、机关事业单位养老保险缴费12.73万元、职业年金5.09万元、职工基本医疗保险缴费5.48万元、公务员医疗保险缴费2.26万元、其他社会保障缴费1.72万元、住房公积金8.85万元、其他工资福利支出6.58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公用经费3.2万元，主要包括：办公费0.5万元、邮电费1万元、差旅费0.5万元、培训费0.8万元、工会经费1.3万元、福利费0.0294万元、其他交通费4.3万元、其他商品和服务支出0.4万元。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 w:hAnsi="仿宋" w:eastAsia="仿宋" w:cs="宋体"/>
          <w:bCs/>
          <w:kern w:val="0"/>
          <w:sz w:val="32"/>
          <w:szCs w:val="32"/>
        </w:rPr>
      </w:pPr>
      <w:r>
        <w:rPr>
          <w:rFonts w:hint="eastAsia" w:ascii="仿宋" w:hAnsi="仿宋" w:eastAsia="仿宋" w:cs="宋体"/>
          <w:bCs/>
          <w:kern w:val="0"/>
          <w:sz w:val="32"/>
          <w:szCs w:val="32"/>
        </w:rPr>
        <w:t>金凤区退役军人事务局2020年一般公共预算财政拨款项目支出612.55万元，其中：本年收入安排支出612.55万元，上年结转结余 资金安排支出0万元。按政府收支科目类、款、项，用途分项说明：</w:t>
      </w:r>
    </w:p>
    <w:p>
      <w:pPr>
        <w:widowControl/>
        <w:spacing w:line="560" w:lineRule="exact"/>
        <w:ind w:firstLine="480"/>
        <w:jc w:val="left"/>
        <w:rPr>
          <w:rFonts w:hint="eastAsia" w:ascii="仿宋" w:hAnsi="仿宋" w:eastAsia="仿宋" w:cs="宋体"/>
          <w:bCs/>
          <w:kern w:val="0"/>
          <w:sz w:val="32"/>
          <w:szCs w:val="32"/>
        </w:rPr>
      </w:pPr>
      <w:r>
        <w:rPr>
          <w:rFonts w:hint="eastAsia" w:ascii="仿宋" w:hAnsi="仿宋" w:eastAsia="仿宋" w:cs="宋体"/>
          <w:bCs/>
          <w:kern w:val="0"/>
          <w:sz w:val="32"/>
          <w:szCs w:val="32"/>
        </w:rPr>
        <w:t>1、社会保障和就业支出（208类）抚恤（08款）义务兵优待（05项）主要用于发放义务兵优待金352.38万元，符合政府安置工作条件退役士兵待安置期间生活补助费14.94万元，高原兵优待金98万元。</w:t>
      </w:r>
    </w:p>
    <w:p>
      <w:pPr>
        <w:widowControl/>
        <w:spacing w:line="560" w:lineRule="exact"/>
        <w:ind w:firstLine="480"/>
        <w:jc w:val="left"/>
        <w:rPr>
          <w:rFonts w:hint="eastAsia" w:ascii="仿宋" w:hAnsi="仿宋" w:eastAsia="仿宋" w:cs="宋体"/>
          <w:bCs/>
          <w:kern w:val="0"/>
          <w:sz w:val="32"/>
          <w:szCs w:val="32"/>
        </w:rPr>
      </w:pPr>
      <w:r>
        <w:rPr>
          <w:rFonts w:hint="eastAsia" w:ascii="仿宋" w:hAnsi="仿宋" w:eastAsia="仿宋" w:cs="宋体"/>
          <w:bCs/>
          <w:kern w:val="0"/>
          <w:sz w:val="32"/>
          <w:szCs w:val="32"/>
        </w:rPr>
        <w:t>2、社会保障和就业支出（208类）退役军人管理事务（28款）行政运行（01项）主要用于以政府购买服务方式解决金凤区退役军人服务机构工作人员经费54.77万元，金凤区退役军人服务中心工作经费2万元。</w:t>
      </w:r>
    </w:p>
    <w:p>
      <w:pPr>
        <w:widowControl/>
        <w:spacing w:line="560" w:lineRule="exact"/>
        <w:ind w:firstLine="480"/>
        <w:jc w:val="left"/>
        <w:rPr>
          <w:rFonts w:hint="eastAsia" w:ascii="仿宋" w:hAnsi="仿宋" w:eastAsia="仿宋" w:cs="宋体"/>
          <w:bCs/>
          <w:kern w:val="0"/>
          <w:sz w:val="32"/>
          <w:szCs w:val="32"/>
        </w:rPr>
      </w:pPr>
      <w:r>
        <w:rPr>
          <w:rFonts w:hint="eastAsia" w:ascii="仿宋" w:hAnsi="仿宋" w:eastAsia="仿宋" w:cs="宋体"/>
          <w:bCs/>
          <w:kern w:val="0"/>
          <w:sz w:val="32"/>
          <w:szCs w:val="32"/>
        </w:rPr>
        <w:t>3、社会保障和就业支出（208类）退役军人管理事务（28款）拥军优属（04项）主要用于2020年春节慰问44.64万元，“八一”慰问35.12万元，双拥阵地建设5万元。</w:t>
      </w:r>
    </w:p>
    <w:p>
      <w:pPr>
        <w:widowControl/>
        <w:spacing w:line="560" w:lineRule="exact"/>
        <w:ind w:firstLine="480"/>
        <w:jc w:val="left"/>
        <w:rPr>
          <w:rFonts w:ascii="仿宋" w:hAnsi="仿宋" w:eastAsia="仿宋" w:cs="宋体"/>
          <w:bCs/>
          <w:kern w:val="0"/>
          <w:sz w:val="32"/>
          <w:szCs w:val="32"/>
        </w:rPr>
      </w:pPr>
      <w:r>
        <w:rPr>
          <w:rFonts w:hint="eastAsia" w:ascii="仿宋" w:hAnsi="仿宋" w:eastAsia="仿宋" w:cs="宋体"/>
          <w:bCs/>
          <w:kern w:val="0"/>
          <w:sz w:val="32"/>
          <w:szCs w:val="32"/>
        </w:rPr>
        <w:t>4、社会保障和就业支出（208类）退役军人管理事务（28款）其它退役军人管理事务支出（99项）主要用于举行“八一”军事日活动5.7万元。</w:t>
      </w:r>
    </w:p>
    <w:p>
      <w:pPr>
        <w:widowControl/>
        <w:spacing w:line="560" w:lineRule="exact"/>
        <w:jc w:val="left"/>
        <w:rPr>
          <w:rFonts w:ascii="黑体" w:hAnsi="宋体" w:eastAsia="黑体" w:cs="宋体"/>
          <w:b/>
          <w:bCs/>
          <w:kern w:val="0"/>
          <w:sz w:val="32"/>
          <w:szCs w:val="32"/>
        </w:rPr>
      </w:pPr>
      <w:r>
        <w:rPr>
          <w:rFonts w:hint="eastAsia" w:ascii="楷体_GB2312" w:hAnsi="宋体" w:eastAsia="楷体_GB2312" w:cs="宋体"/>
          <w:b/>
          <w:bCs/>
          <w:kern w:val="0"/>
          <w:sz w:val="32"/>
          <w:szCs w:val="32"/>
        </w:rPr>
        <w:t xml:space="preserve">    </w:t>
      </w:r>
      <w:r>
        <w:rPr>
          <w:rFonts w:hint="eastAsia" w:ascii="黑体" w:hAnsi="宋体" w:eastAsia="黑体" w:cs="宋体"/>
          <w:b/>
          <w:bCs/>
          <w:kern w:val="0"/>
          <w:sz w:val="32"/>
          <w:szCs w:val="32"/>
        </w:rPr>
        <w:t>三、关于金凤区退役军人事务局2020年一般公共预算财政拨款“三公”经费预算情况说明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金凤区退役军人事务局2020年“三公”经费财政拨款预算数为0万元，主要因为：我单位是2019年新成立的单位，没有公务车，因此公务用车购置费和运行费均为0，二是因为退役军人工作性质特点，因此没有因公出国出境事项，也没有公务接待产生。</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四、关于金凤区退役军人事务局2020年政府性基金预算拨款情况说明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b/>
          <w:bCs/>
          <w:kern w:val="0"/>
          <w:sz w:val="32"/>
          <w:szCs w:val="32"/>
        </w:rPr>
        <w:t>金凤区退役军人事务局</w:t>
      </w:r>
      <w:r>
        <w:rPr>
          <w:rFonts w:hint="eastAsia" w:ascii="仿宋" w:hAnsi="仿宋" w:eastAsia="仿宋" w:cs="宋体"/>
          <w:kern w:val="0"/>
          <w:sz w:val="32"/>
          <w:szCs w:val="32"/>
        </w:rPr>
        <w:t>2020年无政府性基金预算财政拨款收支。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五、关于金凤区退役军人事务局2020年收支预算情况的总体说明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金凤区退役军人事务局2020年收入总预算761万元，其中：本年收入761万元；支出总预算761万元，其中：本年支出761万元。</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本年收入包括：财政拨款预算收入761万元，占100 %；</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本年支出包括：行政支出761万元，占100%。</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（一）机关运行经费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2020年，金凤区退役军人事务局本级的机关运行经费财政拨款预算9.384万元。因我单位属于2019年新成立的单位，没有2019年预算。</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2020年，金凤区退役军人事务局政府采购预算54.8万元，其中：政府采购服务预算54.8万元，用于解决金凤区退役军人服务机构工作人员经费。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截至2019年12月31日，金凤区退役军人事务局占用使用国有资产总体情况为办公家具及设备价值10.8万元。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2020年金凤我退役军人事务局无重点项目，因此无重点项目绩效考评。</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金凤区退役军人事务局2020年部门预算名词解释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：按照《2020年政府收支分类科目》“类”、“款”、“项”的编码和名称填列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before="240" w:after="240"/>
        <w:ind w:firstLine="645"/>
        <w:jc w:val="left"/>
        <w:rPr>
          <w:rFonts w:ascii="仿宋" w:hAnsi="仿宋" w:eastAsia="仿宋" w:cs="宋体"/>
          <w:bCs/>
          <w:kern w:val="0"/>
          <w:sz w:val="32"/>
          <w:szCs w:val="32"/>
        </w:rPr>
      </w:pPr>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24</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1795C"/>
    <w:rsid w:val="00043F07"/>
    <w:rsid w:val="0006670E"/>
    <w:rsid w:val="000831C0"/>
    <w:rsid w:val="000858CD"/>
    <w:rsid w:val="00095461"/>
    <w:rsid w:val="000C42AF"/>
    <w:rsid w:val="000D7B37"/>
    <w:rsid w:val="00135137"/>
    <w:rsid w:val="0013519B"/>
    <w:rsid w:val="0015526B"/>
    <w:rsid w:val="001A5F33"/>
    <w:rsid w:val="001A68AF"/>
    <w:rsid w:val="001B3655"/>
    <w:rsid w:val="001B61BB"/>
    <w:rsid w:val="001C1D11"/>
    <w:rsid w:val="001E2B95"/>
    <w:rsid w:val="001F51AD"/>
    <w:rsid w:val="00206E33"/>
    <w:rsid w:val="0022537E"/>
    <w:rsid w:val="0023640E"/>
    <w:rsid w:val="002C4BD6"/>
    <w:rsid w:val="002E78B6"/>
    <w:rsid w:val="002F53FA"/>
    <w:rsid w:val="00322E88"/>
    <w:rsid w:val="00331D57"/>
    <w:rsid w:val="003379A6"/>
    <w:rsid w:val="0035076A"/>
    <w:rsid w:val="00367D09"/>
    <w:rsid w:val="00375123"/>
    <w:rsid w:val="003A44E5"/>
    <w:rsid w:val="003B5F79"/>
    <w:rsid w:val="003F169E"/>
    <w:rsid w:val="003F30B9"/>
    <w:rsid w:val="00423519"/>
    <w:rsid w:val="004379C6"/>
    <w:rsid w:val="00447276"/>
    <w:rsid w:val="004656F2"/>
    <w:rsid w:val="004725D4"/>
    <w:rsid w:val="00484DD2"/>
    <w:rsid w:val="004858B2"/>
    <w:rsid w:val="004A3CAF"/>
    <w:rsid w:val="004B2681"/>
    <w:rsid w:val="004D4FB9"/>
    <w:rsid w:val="004E506D"/>
    <w:rsid w:val="00523CAC"/>
    <w:rsid w:val="00527353"/>
    <w:rsid w:val="00565B9A"/>
    <w:rsid w:val="00571B0D"/>
    <w:rsid w:val="005A0071"/>
    <w:rsid w:val="005A4605"/>
    <w:rsid w:val="005B2AFD"/>
    <w:rsid w:val="005C3E29"/>
    <w:rsid w:val="005E4A5E"/>
    <w:rsid w:val="005E514F"/>
    <w:rsid w:val="005F043A"/>
    <w:rsid w:val="005F6D2A"/>
    <w:rsid w:val="006005FB"/>
    <w:rsid w:val="00616416"/>
    <w:rsid w:val="0062119E"/>
    <w:rsid w:val="00627DAC"/>
    <w:rsid w:val="0063712A"/>
    <w:rsid w:val="00673569"/>
    <w:rsid w:val="00683EA6"/>
    <w:rsid w:val="006C056F"/>
    <w:rsid w:val="006C5B18"/>
    <w:rsid w:val="006C5E08"/>
    <w:rsid w:val="00795500"/>
    <w:rsid w:val="00797C6A"/>
    <w:rsid w:val="007A2546"/>
    <w:rsid w:val="007E5001"/>
    <w:rsid w:val="00806D8F"/>
    <w:rsid w:val="00836297"/>
    <w:rsid w:val="008B03E1"/>
    <w:rsid w:val="008C415B"/>
    <w:rsid w:val="008E40C7"/>
    <w:rsid w:val="00926C87"/>
    <w:rsid w:val="0093771D"/>
    <w:rsid w:val="00955E13"/>
    <w:rsid w:val="009C5522"/>
    <w:rsid w:val="009F1323"/>
    <w:rsid w:val="00A04D0E"/>
    <w:rsid w:val="00A16743"/>
    <w:rsid w:val="00A24808"/>
    <w:rsid w:val="00A27798"/>
    <w:rsid w:val="00A72DC8"/>
    <w:rsid w:val="00AB3815"/>
    <w:rsid w:val="00AC24ED"/>
    <w:rsid w:val="00AC560B"/>
    <w:rsid w:val="00AD7672"/>
    <w:rsid w:val="00AE341C"/>
    <w:rsid w:val="00AF5288"/>
    <w:rsid w:val="00B11C0A"/>
    <w:rsid w:val="00B272E9"/>
    <w:rsid w:val="00B70EFD"/>
    <w:rsid w:val="00BF3EE9"/>
    <w:rsid w:val="00C05188"/>
    <w:rsid w:val="00C53A1E"/>
    <w:rsid w:val="00C54A32"/>
    <w:rsid w:val="00CA0B80"/>
    <w:rsid w:val="00CE7293"/>
    <w:rsid w:val="00CE7FCB"/>
    <w:rsid w:val="00CF4C56"/>
    <w:rsid w:val="00D61F97"/>
    <w:rsid w:val="00D62C7C"/>
    <w:rsid w:val="00D66148"/>
    <w:rsid w:val="00D77DE1"/>
    <w:rsid w:val="00D953BC"/>
    <w:rsid w:val="00DA2209"/>
    <w:rsid w:val="00DA2C8F"/>
    <w:rsid w:val="00DB1945"/>
    <w:rsid w:val="00DD5905"/>
    <w:rsid w:val="00DE40F0"/>
    <w:rsid w:val="00E0407D"/>
    <w:rsid w:val="00E21502"/>
    <w:rsid w:val="00E82D24"/>
    <w:rsid w:val="00EB04E5"/>
    <w:rsid w:val="00EB3277"/>
    <w:rsid w:val="00ED10DD"/>
    <w:rsid w:val="00EF4D47"/>
    <w:rsid w:val="00F1720D"/>
    <w:rsid w:val="00F832C0"/>
    <w:rsid w:val="00F97EC8"/>
    <w:rsid w:val="00FB2A8B"/>
    <w:rsid w:val="0888458F"/>
    <w:rsid w:val="0CF1544F"/>
    <w:rsid w:val="12A40768"/>
    <w:rsid w:val="26886044"/>
    <w:rsid w:val="2C6F41F6"/>
    <w:rsid w:val="42025F5C"/>
    <w:rsid w:val="45FE5B57"/>
    <w:rsid w:val="4E925476"/>
    <w:rsid w:val="581F316C"/>
    <w:rsid w:val="5A215606"/>
    <w:rsid w:val="5DE3622E"/>
    <w:rsid w:val="6F2B6BEF"/>
    <w:rsid w:val="6FFA475D"/>
    <w:rsid w:val="721E5C0B"/>
    <w:rsid w:val="778F2AB2"/>
    <w:rsid w:val="7C251DD3"/>
    <w:rsid w:val="7D0A4B32"/>
    <w:rsid w:val="7E6B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qFormat/>
    <w:uiPriority w:val="0"/>
    <w:rPr>
      <w:sz w:val="18"/>
      <w:szCs w:val="18"/>
    </w:r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rFonts w:cs="Times New Roman"/>
      <w:b/>
      <w:bCs/>
    </w:rPr>
  </w:style>
  <w:style w:type="character" w:styleId="8">
    <w:name w:val="page number"/>
    <w:basedOn w:val="6"/>
    <w:qFormat/>
    <w:uiPriority w:val="0"/>
  </w:style>
  <w:style w:type="paragraph" w:customStyle="1" w:styleId="10">
    <w:name w:val="列出段落1"/>
    <w:basedOn w:val="1"/>
    <w:qFormat/>
    <w:uiPriority w:val="34"/>
    <w:pPr>
      <w:ind w:firstLine="420" w:firstLineChars="200"/>
    </w:pPr>
  </w:style>
  <w:style w:type="paragraph" w:customStyle="1" w:styleId="11">
    <w:name w:val="Char"/>
    <w:basedOn w:val="1"/>
    <w:qFormat/>
    <w:uiPriority w:val="0"/>
    <w:pPr>
      <w:spacing w:line="360" w:lineRule="auto"/>
      <w:ind w:firstLine="200" w:firstLineChars="200"/>
    </w:pPr>
    <w:rPr>
      <w:rFonts w:ascii="宋体" w:hAnsi="宋体" w:cs="宋体"/>
      <w:sz w:val="24"/>
      <w:szCs w:val="20"/>
    </w:rPr>
  </w:style>
  <w:style w:type="character" w:customStyle="1" w:styleId="12">
    <w:name w:val="页眉 Char"/>
    <w:basedOn w:val="6"/>
    <w:link w:val="4"/>
    <w:qFormat/>
    <w:uiPriority w:val="0"/>
    <w:rPr>
      <w:sz w:val="18"/>
      <w:szCs w:val="18"/>
    </w:rPr>
  </w:style>
  <w:style w:type="character" w:customStyle="1" w:styleId="13">
    <w:name w:val="页脚 Char"/>
    <w:basedOn w:val="6"/>
    <w:link w:val="3"/>
    <w:qFormat/>
    <w:uiPriority w:val="0"/>
    <w:rPr>
      <w:sz w:val="18"/>
      <w:szCs w:val="18"/>
    </w:rPr>
  </w:style>
  <w:style w:type="character" w:customStyle="1" w:styleId="14">
    <w:name w:val="批注框文本 Char"/>
    <w:basedOn w:val="6"/>
    <w:link w:val="2"/>
    <w:semiHidden/>
    <w:qFormat/>
    <w:uiPriority w:val="0"/>
    <w:rPr>
      <w:rFonts w:ascii="Times New Roman" w:hAnsi="Times New Roman" w:eastAsia="宋体" w:cs="Times New Roman"/>
      <w:sz w:val="18"/>
      <w:szCs w:val="18"/>
    </w:rPr>
  </w:style>
  <w:style w:type="character" w:customStyle="1" w:styleId="15">
    <w:name w:val="font21"/>
    <w:basedOn w:val="6"/>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1519</Words>
  <Characters>8662</Characters>
  <Lines>72</Lines>
  <Paragraphs>20</Paragraphs>
  <TotalTime>49</TotalTime>
  <ScaleCrop>false</ScaleCrop>
  <LinksUpToDate>false</LinksUpToDate>
  <CharactersWithSpaces>10161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吕京卫</cp:lastModifiedBy>
  <cp:lastPrinted>2020-02-19T07:13:00Z</cp:lastPrinted>
  <dcterms:modified xsi:type="dcterms:W3CDTF">2020-12-18T10:33:49Z</dcterms:modified>
  <dc:title>金凤区退役军人事务局2020年部门预算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