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360" w:lineRule="auto"/>
        <w:jc w:val="left"/>
        <w:textAlignment w:val="center"/>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附件1</w:t>
      </w:r>
    </w:p>
    <w:tbl>
      <w:tblPr>
        <w:tblStyle w:val="5"/>
        <w:tblW w:w="9640"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4"/>
        <w:gridCol w:w="954"/>
        <w:gridCol w:w="927"/>
        <w:gridCol w:w="2911"/>
        <w:gridCol w:w="1273"/>
        <w:gridCol w:w="918"/>
        <w:gridCol w:w="1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9640" w:type="dxa"/>
            <w:gridSpan w:val="7"/>
            <w:tcBorders>
              <w:top w:val="nil"/>
              <w:left w:val="nil"/>
              <w:bottom w:val="nil"/>
              <w:right w:val="nil"/>
            </w:tcBorders>
            <w:vAlign w:val="center"/>
          </w:tcPr>
          <w:p>
            <w:pPr>
              <w:widowControl/>
              <w:wordWrap/>
              <w:adjustRightInd/>
              <w:snapToGrid/>
              <w:spacing w:before="0" w:beforeLines="0" w:afterLines="0" w:line="440" w:lineRule="exact"/>
              <w:jc w:val="center"/>
              <w:textAlignment w:val="center"/>
              <w:rPr>
                <w:rFonts w:hint="eastAsia" w:ascii="宋体" w:hAnsi="宋体" w:eastAsia="宋体" w:cs="宋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rPr>
              <w:t xml:space="preserve">中央对地方专项转移支付绩效自评表  </w:t>
            </w:r>
            <w:r>
              <w:rPr>
                <w:rFonts w:hint="eastAsia" w:ascii="宋体" w:hAnsi="宋体" w:eastAsia="宋体" w:cs="宋体"/>
                <w:i w:val="0"/>
                <w:iCs w:val="0"/>
                <w:color w:val="000000"/>
                <w:kern w:val="0"/>
                <w:sz w:val="44"/>
                <w:szCs w:val="44"/>
                <w:u w:val="none"/>
                <w:lang w:val="en-US" w:eastAsia="zh-CN"/>
              </w:rPr>
              <w:t xml:space="preserve">  </w:t>
            </w:r>
            <w:r>
              <w:rPr>
                <w:rFonts w:hint="eastAsia" w:ascii="宋体" w:hAnsi="宋体" w:eastAsia="宋体" w:cs="宋体"/>
                <w:b/>
                <w:bCs/>
                <w:i w:val="0"/>
                <w:iCs w:val="0"/>
                <w:color w:val="000000"/>
                <w:kern w:val="0"/>
                <w:sz w:val="48"/>
                <w:szCs w:val="48"/>
                <w:u w:val="none"/>
                <w:lang w:val="en-US" w:eastAsia="zh-CN"/>
              </w:rPr>
              <w:t xml:space="preserve">                 </w:t>
            </w:r>
            <w:r>
              <w:rPr>
                <w:rFonts w:hint="eastAsia" w:ascii="宋体" w:hAnsi="宋体" w:eastAsia="宋体" w:cs="宋体"/>
                <w:b/>
                <w:bCs/>
                <w:i w:val="0"/>
                <w:iCs w:val="0"/>
                <w:color w:val="000000"/>
                <w:kern w:val="0"/>
                <w:sz w:val="36"/>
                <w:szCs w:val="36"/>
                <w:u w:val="none"/>
                <w:lang w:val="en-US" w:eastAsia="zh-CN"/>
              </w:rPr>
              <w:t xml:space="preserve">                         </w:t>
            </w:r>
            <w:r>
              <w:rPr>
                <w:rFonts w:hint="eastAsia" w:ascii="楷体_GB2312" w:hAnsi="楷体_GB2312" w:eastAsia="楷体_GB2312" w:cs="楷体_GB2312"/>
                <w:b/>
                <w:bCs/>
                <w:i w:val="0"/>
                <w:iCs w:val="0"/>
                <w:color w:val="000000"/>
                <w:kern w:val="0"/>
                <w:sz w:val="32"/>
                <w:szCs w:val="32"/>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55" w:type="dxa"/>
            <w:gridSpan w:val="3"/>
            <w:tcBorders>
              <w:top w:val="single" w:color="000000" w:sz="8" w:space="0"/>
              <w:left w:val="single" w:color="000000" w:sz="8" w:space="0"/>
              <w:bottom w:val="single" w:color="000000" w:sz="8" w:space="0"/>
              <w:right w:val="single" w:color="000000" w:sz="8"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专项（项目）名称</w:t>
            </w:r>
          </w:p>
        </w:tc>
        <w:tc>
          <w:tcPr>
            <w:tcW w:w="6685" w:type="dxa"/>
            <w:gridSpan w:val="4"/>
            <w:tcBorders>
              <w:top w:val="single" w:color="000000" w:sz="8" w:space="0"/>
              <w:left w:val="nil"/>
              <w:bottom w:val="single" w:color="000000" w:sz="8" w:space="0"/>
              <w:right w:val="single" w:color="000000" w:sz="8"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val="en-US" w:eastAsia="zh-CN"/>
              </w:rPr>
              <w:t>2023年</w:t>
            </w:r>
            <w:r>
              <w:rPr>
                <w:rFonts w:hint="eastAsia" w:ascii="宋体" w:hAnsi="宋体" w:cs="宋体"/>
                <w:i w:val="0"/>
                <w:iCs w:val="0"/>
                <w:color w:val="000000"/>
                <w:sz w:val="20"/>
                <w:szCs w:val="20"/>
                <w:u w:val="none"/>
                <w:lang w:eastAsia="zh-CN"/>
              </w:rPr>
              <w:t>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2955" w:type="dxa"/>
            <w:gridSpan w:val="3"/>
            <w:tcBorders>
              <w:top w:val="nil"/>
              <w:left w:val="single" w:color="000000" w:sz="8" w:space="0"/>
              <w:bottom w:val="single" w:color="auto" w:sz="4" w:space="0"/>
              <w:right w:val="single" w:color="000000" w:sz="8"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中央主管部门</w:t>
            </w:r>
          </w:p>
        </w:tc>
        <w:tc>
          <w:tcPr>
            <w:tcW w:w="6685" w:type="dxa"/>
            <w:gridSpan w:val="4"/>
            <w:tcBorders>
              <w:top w:val="nil"/>
              <w:left w:val="nil"/>
              <w:bottom w:val="single" w:color="auto" w:sz="4" w:space="0"/>
              <w:right w:val="single" w:color="000000" w:sz="8"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地方主管部门</w:t>
            </w:r>
          </w:p>
        </w:tc>
        <w:tc>
          <w:tcPr>
            <w:tcW w:w="2911" w:type="dxa"/>
            <w:vMerge w:val="restart"/>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left"/>
              <w:rPr>
                <w:rFonts w:hint="eastAsia" w:ascii="Calibri" w:hAnsi="Calibri" w:eastAsia="宋体" w:cs="Times New Roman"/>
                <w:kern w:val="2"/>
                <w:sz w:val="21"/>
                <w:szCs w:val="24"/>
                <w:lang w:val="en-US" w:eastAsia="zh-CN" w:bidi="ar-SA"/>
              </w:rPr>
            </w:pPr>
          </w:p>
        </w:tc>
        <w:tc>
          <w:tcPr>
            <w:tcW w:w="127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实施单位</w:t>
            </w:r>
          </w:p>
        </w:tc>
        <w:tc>
          <w:tcPr>
            <w:tcW w:w="25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金凤区卫生健康局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55" w:type="dxa"/>
            <w:gridSpan w:val="3"/>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both"/>
              <w:rPr>
                <w:rFonts w:hint="eastAsia" w:ascii="宋体" w:hAnsi="宋体" w:eastAsia="宋体" w:cs="宋体"/>
                <w:i w:val="0"/>
                <w:iCs w:val="0"/>
                <w:color w:val="000000"/>
                <w:sz w:val="20"/>
                <w:szCs w:val="20"/>
                <w:u w:val="none"/>
              </w:rPr>
            </w:pPr>
          </w:p>
        </w:tc>
        <w:tc>
          <w:tcPr>
            <w:tcW w:w="2911"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both"/>
              <w:rPr>
                <w:rFonts w:hint="eastAsia" w:ascii="宋体" w:hAnsi="宋体" w:eastAsia="宋体" w:cs="宋体"/>
                <w:i w:val="0"/>
                <w:iCs w:val="0"/>
                <w:color w:val="000000"/>
                <w:sz w:val="20"/>
                <w:szCs w:val="20"/>
                <w:u w:val="none"/>
              </w:rPr>
            </w:pPr>
          </w:p>
        </w:tc>
        <w:tc>
          <w:tcPr>
            <w:tcW w:w="1273"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both"/>
              <w:rPr>
                <w:rFonts w:hint="eastAsia" w:ascii="宋体" w:hAnsi="宋体" w:eastAsia="宋体" w:cs="宋体"/>
                <w:i w:val="0"/>
                <w:iCs w:val="0"/>
                <w:color w:val="000000"/>
                <w:sz w:val="20"/>
                <w:szCs w:val="20"/>
                <w:u w:val="none"/>
              </w:rPr>
            </w:pPr>
          </w:p>
        </w:tc>
        <w:tc>
          <w:tcPr>
            <w:tcW w:w="25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基本公共卫生服务项目资金（万元）</w:t>
            </w:r>
          </w:p>
        </w:tc>
        <w:tc>
          <w:tcPr>
            <w:tcW w:w="1881"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全年预算数（A）</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全年执行数（B）</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center"/>
              <w:rPr>
                <w:rFonts w:hint="eastAsia" w:ascii="宋体" w:hAnsi="宋体" w:eastAsia="宋体" w:cs="宋体"/>
                <w:i w:val="0"/>
                <w:iCs w:val="0"/>
                <w:color w:val="000000"/>
                <w:sz w:val="20"/>
                <w:szCs w:val="20"/>
                <w:u w:val="none"/>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年度资金总额：</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5577.3164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5532.64</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center"/>
              <w:rPr>
                <w:rFonts w:hint="eastAsia" w:ascii="宋体" w:hAnsi="宋体" w:eastAsia="宋体" w:cs="宋体"/>
                <w:i w:val="0"/>
                <w:iCs w:val="0"/>
                <w:color w:val="000000"/>
                <w:sz w:val="20"/>
                <w:szCs w:val="20"/>
                <w:u w:val="none"/>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其中：中央补助</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4627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4615.01</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center"/>
              <w:rPr>
                <w:rFonts w:hint="eastAsia" w:ascii="宋体" w:hAnsi="宋体" w:eastAsia="宋体" w:cs="宋体"/>
                <w:i w:val="0"/>
                <w:iCs w:val="0"/>
                <w:color w:val="000000"/>
                <w:sz w:val="20"/>
                <w:szCs w:val="20"/>
                <w:u w:val="none"/>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地方资金</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950.32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917.63</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96.56%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center"/>
              <w:rPr>
                <w:rFonts w:hint="eastAsia" w:ascii="宋体" w:hAnsi="宋体" w:eastAsia="宋体" w:cs="宋体"/>
                <w:i w:val="0"/>
                <w:iCs w:val="0"/>
                <w:color w:val="000000"/>
                <w:sz w:val="20"/>
                <w:szCs w:val="20"/>
                <w:u w:val="none"/>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其他资金                                 （包括结转资金）</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7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基层基本公共卫生服务项目（12类）资金（万元）</w:t>
            </w:r>
          </w:p>
        </w:tc>
        <w:tc>
          <w:tcPr>
            <w:tcW w:w="1881"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全年预算数（A）</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全年执行数（B）</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center"/>
              <w:rPr>
                <w:rFonts w:hint="eastAsia" w:ascii="宋体" w:hAnsi="宋体" w:eastAsia="宋体" w:cs="宋体"/>
                <w:i w:val="0"/>
                <w:iCs w:val="0"/>
                <w:color w:val="000000"/>
                <w:sz w:val="20"/>
                <w:szCs w:val="20"/>
                <w:u w:val="none"/>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年度资金总额：</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5438.58</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5438.58</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center"/>
              <w:rPr>
                <w:rFonts w:hint="eastAsia" w:ascii="宋体" w:hAnsi="宋体" w:eastAsia="宋体" w:cs="宋体"/>
                <w:i w:val="0"/>
                <w:iCs w:val="0"/>
                <w:color w:val="000000"/>
                <w:sz w:val="20"/>
                <w:szCs w:val="20"/>
                <w:u w:val="none"/>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其中：中央补助</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4520.955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4520.955</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center"/>
              <w:rPr>
                <w:rFonts w:hint="eastAsia" w:ascii="宋体" w:hAnsi="宋体" w:eastAsia="宋体" w:cs="宋体"/>
                <w:i w:val="0"/>
                <w:iCs w:val="0"/>
                <w:color w:val="000000"/>
                <w:sz w:val="20"/>
                <w:szCs w:val="20"/>
                <w:u w:val="none"/>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地方资金</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917.625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917.625</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jc w:val="center"/>
              <w:rPr>
                <w:rFonts w:hint="eastAsia" w:ascii="宋体" w:hAnsi="宋体" w:eastAsia="宋体" w:cs="宋体"/>
                <w:i w:val="0"/>
                <w:iCs w:val="0"/>
                <w:color w:val="000000"/>
                <w:sz w:val="20"/>
                <w:szCs w:val="20"/>
                <w:u w:val="none"/>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其他资金                     （包括结转资金）</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p>
        </w:tc>
        <w:tc>
          <w:tcPr>
            <w:tcW w:w="250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年度总体目标</w:t>
            </w:r>
          </w:p>
        </w:tc>
        <w:tc>
          <w:tcPr>
            <w:tcW w:w="4792"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年初设定目标</w:t>
            </w:r>
          </w:p>
        </w:tc>
        <w:tc>
          <w:tcPr>
            <w:tcW w:w="3774"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目标</w:t>
            </w:r>
          </w:p>
        </w:tc>
        <w:tc>
          <w:tcPr>
            <w:tcW w:w="4792"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left"/>
              <w:textAlignment w:val="center"/>
              <w:rPr>
                <w:rFonts w:hint="eastAsia" w:ascii="宋体" w:hAnsi="宋体" w:eastAsia="宋体" w:cs="宋体"/>
                <w:i w:val="0"/>
                <w:iCs w:val="0"/>
                <w:color w:val="000000"/>
                <w:sz w:val="20"/>
                <w:szCs w:val="20"/>
                <w:u w:val="none"/>
              </w:rPr>
            </w:pPr>
          </w:p>
        </w:tc>
        <w:tc>
          <w:tcPr>
            <w:tcW w:w="3774"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0" w:lineRule="atLeast"/>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绩</w:t>
            </w:r>
          </w:p>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效</w:t>
            </w:r>
          </w:p>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指</w:t>
            </w:r>
          </w:p>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标</w:t>
            </w:r>
          </w:p>
        </w:tc>
        <w:tc>
          <w:tcPr>
            <w:tcW w:w="95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一级指标</w:t>
            </w:r>
          </w:p>
        </w:tc>
        <w:tc>
          <w:tcPr>
            <w:tcW w:w="927"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二级指标</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三级指标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年度指标值</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全年完成值</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p>
        </w:tc>
        <w:tc>
          <w:tcPr>
            <w:tcW w:w="954"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产</w:t>
            </w:r>
          </w:p>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w:t>
            </w:r>
          </w:p>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指</w:t>
            </w:r>
          </w:p>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标</w:t>
            </w:r>
          </w:p>
        </w:tc>
        <w:tc>
          <w:tcPr>
            <w:tcW w:w="927"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数量指标</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城乡居民规范化电子健康档案建档率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rPr>
              <w:t>90.5</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健康档案动态使用率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en-US"/>
              </w:rPr>
              <w:t>≥50%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52.33%</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适龄儿童国家免疫规划疫苗接种率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99%</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新生儿访视率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99.91 %</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7岁以下儿童健康管理率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96.74%</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0-6岁儿童眼保健和视力检查覆盖率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96.74%</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早孕建册率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98.08%</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产后访视率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98.71%</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孕产妇系统管理率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99.13%</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老年人城乡社区规范健康管理服务任务完成率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≥100%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lang w:val="en-US" w:eastAsia="zh-CN"/>
              </w:rPr>
              <w:t>107</w:t>
            </w:r>
            <w:r>
              <w:rPr>
                <w:rFonts w:hint="eastAsia" w:ascii="宋体" w:hAnsi="宋体" w:eastAsia="宋体" w:cs="宋体"/>
                <w:color w:val="000000"/>
                <w:sz w:val="20"/>
                <w:szCs w:val="20"/>
              </w:rPr>
              <w:t>%</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高血压患者健</w:t>
            </w:r>
            <w:r>
              <w:rPr>
                <w:rFonts w:hint="eastAsia" w:ascii="宋体" w:hAnsi="宋体" w:eastAsia="宋体" w:cs="宋体"/>
                <w:i w:val="0"/>
                <w:iCs w:val="0"/>
                <w:color w:val="000000"/>
                <w:sz w:val="20"/>
                <w:szCs w:val="20"/>
                <w:u w:val="none"/>
                <w:lang w:eastAsia="zh-CN"/>
              </w:rPr>
              <w:t>康</w:t>
            </w:r>
            <w:r>
              <w:rPr>
                <w:rFonts w:hint="eastAsia" w:ascii="宋体" w:hAnsi="宋体" w:eastAsia="宋体" w:cs="宋体"/>
                <w:i w:val="0"/>
                <w:iCs w:val="0"/>
                <w:color w:val="000000"/>
                <w:sz w:val="20"/>
                <w:szCs w:val="20"/>
                <w:u w:val="none"/>
              </w:rPr>
              <w:t>管理任务完成率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≥100%且不低于上年度管理人数</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104.87%</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2型糖尿病患者健康管理任务完成率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≥100%且不低于上年度管理人数</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142.71%</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癫痫患者筛查任务完成率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≥100%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130%</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8"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社区在册居家严重精神障碍患者健康管理率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69.75%</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wordWrap/>
              <w:adjustRightInd/>
              <w:snapToGrid/>
              <w:spacing w:before="157" w:beforeLines="50" w:beforeAutospacing="0" w:after="157" w:afterLines="50" w:afterAutospacing="0" w:line="240" w:lineRule="exact"/>
              <w:ind w:right="0"/>
              <w:jc w:val="both"/>
              <w:textAlignment w:val="auto"/>
              <w:rPr>
                <w:rFonts w:hint="eastAsia" w:ascii="宋体" w:hAnsi="宋体" w:eastAsia="宋体" w:cs="宋体"/>
                <w:i w:val="0"/>
                <w:iCs w:val="0"/>
                <w:color w:val="000000"/>
                <w:sz w:val="20"/>
                <w:szCs w:val="20"/>
                <w:u w:val="none"/>
              </w:rPr>
            </w:pPr>
            <w:r>
              <w:rPr>
                <w:rFonts w:hint="eastAsia" w:ascii="宋体" w:hAnsi="宋体" w:eastAsia="宋体" w:cs="宋体"/>
                <w:b w:val="0"/>
                <w:bCs w:val="0"/>
                <w:color w:val="auto"/>
                <w:kern w:val="2"/>
                <w:sz w:val="18"/>
                <w:szCs w:val="18"/>
                <w:lang w:val="en-US" w:eastAsia="zh-CN"/>
              </w:rPr>
              <w:t>社区对住院患者进行了登记，但在考核中减去住院患者，导致金凤区社区在册居家严重精神障碍患者健康管理人数降低幅度较大，未达到指标要求。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传染病疫情报告率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卫生监督协管各专业每年巡查（访）2次完成率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老年人中医药健康管理率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86%</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儿童中医药健康管理率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≥77%</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95%</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肺结核患者管理率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65岁及以上老年人结核菌素筛查率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101.34%</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糖尿病患者结核菌素筛查率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114.58%</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质</w:t>
            </w:r>
            <w:r>
              <w:rPr>
                <w:rFonts w:hint="eastAsia" w:ascii="宋体" w:hAnsi="宋体" w:eastAsia="宋体" w:cs="宋体"/>
                <w:i w:val="0"/>
                <w:iCs w:val="0"/>
                <w:color w:val="000000"/>
                <w:kern w:val="0"/>
                <w:sz w:val="20"/>
                <w:szCs w:val="20"/>
                <w:u w:val="none"/>
                <w:lang w:val="en-US" w:eastAsia="zh-CN"/>
              </w:rPr>
              <w:t>量指标</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居民规范化电子健康档案覆盖率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≥65%</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lang w:val="en-US" w:eastAsia="zh-CN"/>
              </w:rPr>
              <w:t>71.88</w:t>
            </w:r>
            <w:r>
              <w:rPr>
                <w:rFonts w:hint="eastAsia" w:ascii="宋体" w:hAnsi="宋体" w:eastAsia="宋体" w:cs="宋体"/>
                <w:color w:val="000000"/>
                <w:sz w:val="20"/>
                <w:szCs w:val="20"/>
              </w:rPr>
              <w:t xml:space="preserve"> %</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cs="宋体"/>
                <w:i w:val="0"/>
                <w:iCs w:val="0"/>
                <w:color w:val="000000"/>
                <w:kern w:val="0"/>
                <w:sz w:val="20"/>
                <w:szCs w:val="20"/>
                <w:u w:val="none"/>
                <w:lang w:val="en-US" w:eastAsia="zh-CN"/>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65岁及以上老年人城乡社区规范健康管理服务率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≥7</w:t>
            </w: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rPr>
              <w:t>78.2 %</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高血压患者基层规范管理服务率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≥75%</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91.96%</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高血压管理人群血压控制率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80.70%</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2型糖尿病患者基层规范管理服务率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≥83%</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90.94%</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2型糖尿病患者血糖控制率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79.67%</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严重精神障碍患者规范管理率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癫痫患者规范管理率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癫痫患者治疗率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0.24</w:t>
            </w:r>
            <w:r>
              <w:rPr>
                <w:rFonts w:hint="eastAsia" w:ascii="宋体" w:hAnsi="宋体" w:eastAsia="宋体" w:cs="宋体"/>
                <w:i w:val="0"/>
                <w:iCs w:val="0"/>
                <w:color w:val="000000"/>
                <w:sz w:val="20"/>
                <w:szCs w:val="20"/>
                <w:u w:val="none"/>
                <w:lang w:val="en-US" w:eastAsia="zh-CN"/>
              </w:rPr>
              <w:t>‰</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wordWrap/>
              <w:adjustRightInd/>
              <w:snapToGrid/>
              <w:spacing w:before="157" w:beforeLines="50" w:beforeAutospacing="0" w:after="157" w:afterLines="50" w:afterAutospacing="0" w:line="240" w:lineRule="exact"/>
              <w:ind w:right="0"/>
              <w:jc w:val="both"/>
              <w:textAlignment w:val="auto"/>
              <w:rPr>
                <w:rFonts w:hint="eastAsia" w:ascii="宋体" w:hAnsi="宋体" w:eastAsia="宋体" w:cs="宋体"/>
                <w:i w:val="0"/>
                <w:iCs w:val="0"/>
                <w:color w:val="000000"/>
                <w:sz w:val="20"/>
                <w:szCs w:val="20"/>
                <w:u w:val="none"/>
              </w:rPr>
            </w:pPr>
            <w:r>
              <w:rPr>
                <w:rFonts w:hint="eastAsia" w:ascii="宋体" w:hAnsi="宋体" w:eastAsia="宋体" w:cs="宋体"/>
                <w:color w:val="auto"/>
                <w:sz w:val="18"/>
                <w:szCs w:val="18"/>
                <w:lang w:val="en-US" w:eastAsia="zh-CN"/>
              </w:rPr>
              <w:t>治疗药品单一，确诊病例入组少，在管患者失访、退组情况较多；</w:t>
            </w:r>
            <w:r>
              <w:rPr>
                <w:rFonts w:hint="eastAsia" w:ascii="宋体" w:hAnsi="宋体" w:eastAsia="宋体" w:cs="宋体"/>
                <w:color w:val="auto"/>
                <w:sz w:val="18"/>
                <w:szCs w:val="18"/>
                <w:lang w:eastAsia="zh-CN"/>
              </w:rPr>
              <w:t>金凤区农村人口</w:t>
            </w:r>
            <w:r>
              <w:rPr>
                <w:rFonts w:hint="eastAsia" w:ascii="宋体" w:hAnsi="宋体" w:eastAsia="宋体" w:cs="宋体"/>
                <w:color w:val="auto"/>
                <w:sz w:val="18"/>
                <w:szCs w:val="18"/>
                <w:lang w:val="en-US" w:eastAsia="zh-CN"/>
              </w:rPr>
              <w:t>逐年减少，城镇人口占居多，城镇居民收入较多，对于项目管理药物需求低，出于隐私及需求方面考虑，城镇多数患者拒绝入组或已入组治疗后因药品效果不佳退组、失访情况多发。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严重精神障碍患者规范管理率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000000"/>
                <w:sz w:val="20"/>
                <w:szCs w:val="20"/>
                <w:u w:val="none"/>
                <w:lang w:val="en-US" w:eastAsia="zh-CN"/>
              </w:rPr>
              <w:t>90</w:t>
            </w:r>
            <w:r>
              <w:rPr>
                <w:rFonts w:hint="eastAsia" w:ascii="宋体" w:hAnsi="宋体" w:eastAsia="宋体" w:cs="宋体"/>
                <w:i w:val="0"/>
                <w:iCs w:val="0"/>
                <w:color w:val="000000"/>
                <w:sz w:val="20"/>
                <w:szCs w:val="20"/>
                <w:u w:val="none"/>
              </w:rPr>
              <w:t>%</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94.56%</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Lines="0" w:afterLines="0" w:line="240" w:lineRule="exact"/>
              <w:jc w:val="both"/>
              <w:textAlignment w:val="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肺结核患者规则服药率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≥95%</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98.96%</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传染病疫情报告及时率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传染病和突发公共卫生事件报告率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100%</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居民报告死亡率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7.2</w:t>
            </w:r>
            <w:r>
              <w:rPr>
                <w:rFonts w:hint="eastAsia" w:ascii="宋体" w:hAnsi="宋体" w:eastAsia="宋体" w:cs="宋体"/>
                <w:i w:val="0"/>
                <w:iCs w:val="0"/>
                <w:color w:val="000000"/>
                <w:sz w:val="20"/>
                <w:szCs w:val="20"/>
                <w:u w:val="none"/>
                <w:lang w:val="en-US" w:eastAsia="zh-CN"/>
              </w:rPr>
              <w:t>‰</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卫生计生监督协管信息报告率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≥95%</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效益指标</w:t>
            </w:r>
          </w:p>
        </w:tc>
        <w:tc>
          <w:tcPr>
            <w:tcW w:w="927"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满意度指标</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基本公共卫生服务对象满意度</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w:t>
            </w:r>
            <w:r>
              <w:rPr>
                <w:rFonts w:hint="eastAsia" w:ascii="宋体" w:hAnsi="宋体" w:eastAsia="宋体" w:cs="宋体"/>
                <w:i w:val="0"/>
                <w:iCs w:val="0"/>
                <w:color w:val="000000"/>
                <w:sz w:val="20"/>
                <w:szCs w:val="20"/>
                <w:u w:val="none"/>
                <w:lang w:val="en-US" w:eastAsia="zh-CN"/>
              </w:rPr>
              <w:t>0</w:t>
            </w:r>
            <w:r>
              <w:rPr>
                <w:rFonts w:hint="eastAsia" w:ascii="宋体" w:hAnsi="宋体" w:eastAsia="宋体" w:cs="宋体"/>
                <w:i w:val="0"/>
                <w:iCs w:val="0"/>
                <w:color w:val="000000"/>
                <w:sz w:val="20"/>
                <w:szCs w:val="20"/>
                <w:u w:val="none"/>
              </w:rPr>
              <w:t>%</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90.2%</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rPr>
                <w:rFonts w:hint="eastAsia" w:ascii="宋体" w:hAnsi="宋体" w:eastAsia="宋体" w:cs="宋体"/>
                <w:i w:val="0"/>
                <w:iCs w:val="0"/>
                <w:color w:val="000000"/>
                <w:sz w:val="22"/>
                <w:szCs w:val="22"/>
                <w:u w:val="none"/>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center"/>
              <w:rPr>
                <w:rFonts w:hint="eastAsia" w:ascii="宋体" w:hAnsi="宋体" w:eastAsia="宋体" w:cs="宋体"/>
                <w:i w:val="0"/>
                <w:iCs w:val="0"/>
                <w:color w:val="000000"/>
                <w:sz w:val="20"/>
                <w:szCs w:val="20"/>
                <w:u w:val="none"/>
              </w:rPr>
            </w:pPr>
          </w:p>
        </w:tc>
        <w:tc>
          <w:tcPr>
            <w:tcW w:w="927"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可持</w:t>
            </w:r>
            <w:r>
              <w:rPr>
                <w:rFonts w:hint="eastAsia" w:ascii="宋体" w:hAnsi="宋体" w:cs="宋体"/>
                <w:i w:val="0"/>
                <w:iCs w:val="0"/>
                <w:color w:val="000000"/>
                <w:kern w:val="0"/>
                <w:sz w:val="20"/>
                <w:szCs w:val="20"/>
                <w:u w:val="none"/>
                <w:lang w:val="en-US" w:eastAsia="zh-CN"/>
              </w:rPr>
              <w:t>持续</w:t>
            </w:r>
            <w:r>
              <w:rPr>
                <w:rFonts w:hint="eastAsia" w:ascii="宋体" w:hAnsi="宋体" w:eastAsia="宋体" w:cs="宋体"/>
                <w:i w:val="0"/>
                <w:iCs w:val="0"/>
                <w:color w:val="000000"/>
                <w:kern w:val="0"/>
                <w:sz w:val="20"/>
                <w:szCs w:val="20"/>
                <w:u w:val="none"/>
                <w:lang w:val="en-US" w:eastAsia="zh-CN"/>
              </w:rPr>
              <w:t>影响指标</w:t>
            </w:r>
          </w:p>
        </w:tc>
        <w:tc>
          <w:tcPr>
            <w:tcW w:w="291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公众卫生健康知识普及率</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w:t>
            </w:r>
            <w:r>
              <w:rPr>
                <w:rFonts w:hint="eastAsia" w:ascii="宋体" w:hAnsi="宋体" w:eastAsia="宋体" w:cs="宋体"/>
                <w:i w:val="0"/>
                <w:iCs w:val="0"/>
                <w:color w:val="000000"/>
                <w:sz w:val="20"/>
                <w:szCs w:val="20"/>
                <w:u w:val="none"/>
                <w:lang w:val="en-US" w:eastAsia="zh-CN"/>
              </w:rPr>
              <w:t>0</w:t>
            </w:r>
            <w:r>
              <w:rPr>
                <w:rFonts w:hint="eastAsia" w:ascii="宋体" w:hAnsi="宋体" w:eastAsia="宋体" w:cs="宋体"/>
                <w:i w:val="0"/>
                <w:iCs w:val="0"/>
                <w:color w:val="000000"/>
                <w:sz w:val="20"/>
                <w:szCs w:val="20"/>
                <w:u w:val="none"/>
              </w:rPr>
              <w:t>%</w:t>
            </w:r>
          </w:p>
        </w:tc>
        <w:tc>
          <w:tcPr>
            <w:tcW w:w="91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Lines="0" w:afterLines="0" w:line="0" w:lineRule="atLeas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85%</w:t>
            </w:r>
          </w:p>
        </w:tc>
        <w:tc>
          <w:tcPr>
            <w:tcW w:w="158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Lines="0" w:afterLines="0" w:line="0" w:lineRule="atLeast"/>
              <w:jc w:val="both"/>
              <w:rPr>
                <w:rFonts w:hint="eastAsia" w:ascii="宋体" w:hAnsi="宋体" w:eastAsia="宋体" w:cs="宋体"/>
                <w:i w:val="0"/>
                <w:iCs w:val="0"/>
                <w:color w:val="000000"/>
                <w:sz w:val="20"/>
                <w:szCs w:val="20"/>
                <w:u w:val="none"/>
              </w:rPr>
            </w:pPr>
          </w:p>
        </w:tc>
      </w:tr>
    </w:tbl>
    <w:p>
      <w:pPr>
        <w:rPr>
          <w:rFonts w:hint="eastAsia" w:ascii="黑体" w:hAnsi="黑体" w:eastAsia="黑体" w:cs="黑体"/>
          <w:spacing w:val="0"/>
          <w:w w:val="99"/>
          <w:sz w:val="32"/>
          <w:szCs w:val="32"/>
          <w:lang w:val="en-US" w:eastAsia="zh-CN"/>
        </w:rPr>
      </w:pPr>
    </w:p>
    <w:p>
      <w:pPr>
        <w:rPr>
          <w:rFonts w:hint="eastAsia" w:ascii="黑体" w:hAnsi="黑体" w:eastAsia="黑体" w:cs="黑体"/>
          <w:spacing w:val="0"/>
          <w:w w:val="99"/>
          <w:sz w:val="32"/>
          <w:szCs w:val="32"/>
          <w:lang w:val="en-US" w:eastAsia="zh-CN"/>
        </w:rPr>
      </w:pPr>
    </w:p>
    <w:p>
      <w:pPr>
        <w:rPr>
          <w:rFonts w:hint="eastAsia" w:ascii="黑体" w:hAnsi="黑体" w:eastAsia="黑体" w:cs="黑体"/>
          <w:spacing w:val="0"/>
          <w:w w:val="99"/>
          <w:sz w:val="32"/>
          <w:szCs w:val="32"/>
          <w:lang w:val="en-US" w:eastAsia="zh-CN"/>
        </w:rPr>
      </w:pPr>
    </w:p>
    <w:p>
      <w:pPr>
        <w:rPr>
          <w:rFonts w:hint="eastAsia" w:ascii="黑体" w:hAnsi="黑体" w:eastAsia="黑体" w:cs="黑体"/>
          <w:spacing w:val="0"/>
          <w:w w:val="99"/>
          <w:sz w:val="32"/>
          <w:szCs w:val="32"/>
          <w:lang w:val="en-US" w:eastAsia="zh-CN"/>
        </w:rPr>
      </w:pPr>
    </w:p>
    <w:p>
      <w:pPr>
        <w:rPr>
          <w:rFonts w:hint="eastAsia" w:ascii="黑体" w:hAnsi="黑体" w:eastAsia="黑体" w:cs="黑体"/>
          <w:spacing w:val="0"/>
          <w:w w:val="99"/>
          <w:sz w:val="32"/>
          <w:szCs w:val="32"/>
          <w:lang w:val="en-US" w:eastAsia="zh-CN"/>
        </w:rPr>
      </w:pPr>
    </w:p>
    <w:p>
      <w:pPr>
        <w:rPr>
          <w:rFonts w:hint="eastAsia" w:ascii="黑体" w:hAnsi="黑体" w:eastAsia="黑体" w:cs="黑体"/>
          <w:spacing w:val="0"/>
          <w:w w:val="99"/>
          <w:sz w:val="32"/>
          <w:szCs w:val="32"/>
          <w:lang w:val="en-US" w:eastAsia="zh-CN"/>
        </w:rPr>
      </w:pPr>
    </w:p>
    <w:p>
      <w:pPr>
        <w:rPr>
          <w:rFonts w:hint="eastAsia" w:ascii="黑体" w:hAnsi="黑体" w:eastAsia="黑体" w:cs="黑体"/>
          <w:spacing w:val="0"/>
          <w:w w:val="99"/>
          <w:sz w:val="32"/>
          <w:szCs w:val="32"/>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ascii="仿宋_GB2312" w:hAnsi="仿宋_GB2312" w:eastAsia="仿宋_GB2312" w:cs="仿宋_GB2312"/>
          <w:spacing w:val="0"/>
          <w:w w:val="99"/>
          <w:sz w:val="32"/>
          <w:szCs w:val="32"/>
          <w:lang w:val="en-US" w:eastAsia="zh-CN"/>
        </w:rPr>
      </w:pPr>
      <w:r>
        <w:rPr>
          <w:rFonts w:hint="eastAsia" w:ascii="仿宋_GB2312" w:hAnsi="仿宋_GB2312" w:eastAsia="仿宋_GB2312" w:cs="仿宋_GB2312"/>
          <w:spacing w:val="0"/>
          <w:w w:val="99"/>
          <w:sz w:val="32"/>
          <w:szCs w:val="32"/>
          <w:lang w:val="en-US" w:eastAsia="zh-CN"/>
        </w:rPr>
        <w:t>附件2</w:t>
      </w:r>
    </w:p>
    <w:p>
      <w:pPr>
        <w:widowControl w:val="0"/>
        <w:wordWrap/>
        <w:adjustRightInd/>
        <w:snapToGrid/>
        <w:spacing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pacing w:val="0"/>
          <w:w w:val="99"/>
          <w:sz w:val="44"/>
          <w:szCs w:val="44"/>
          <w:lang w:val="en-US" w:eastAsia="zh-CN"/>
        </w:rPr>
      </w:pPr>
      <w:r>
        <w:rPr>
          <w:rFonts w:hint="eastAsia" w:ascii="方正小标宋简体" w:hAnsi="方正小标宋简体" w:eastAsia="方正小标宋简体" w:cs="方正小标宋简体"/>
          <w:spacing w:val="0"/>
          <w:w w:val="99"/>
          <w:sz w:val="44"/>
          <w:szCs w:val="44"/>
          <w:lang w:val="en-US" w:eastAsia="zh-CN"/>
        </w:rPr>
        <w:t>金凤区2023年度基本公共卫生服务项目</w:t>
      </w:r>
    </w:p>
    <w:p>
      <w:pPr>
        <w:widowControl w:val="0"/>
        <w:wordWrap/>
        <w:adjustRightInd/>
        <w:snapToGrid/>
        <w:spacing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pacing w:val="0"/>
          <w:w w:val="99"/>
          <w:sz w:val="44"/>
          <w:szCs w:val="44"/>
          <w:lang w:val="en-US" w:eastAsia="zh-CN"/>
        </w:rPr>
      </w:pPr>
      <w:r>
        <w:rPr>
          <w:rFonts w:hint="eastAsia" w:ascii="方正小标宋简体" w:hAnsi="方正小标宋简体" w:eastAsia="方正小标宋简体" w:cs="方正小标宋简体"/>
          <w:spacing w:val="0"/>
          <w:w w:val="99"/>
          <w:sz w:val="44"/>
          <w:szCs w:val="44"/>
          <w:lang w:val="en-US" w:eastAsia="zh-CN"/>
        </w:rPr>
        <w:t>绩效考核成绩排名</w:t>
      </w:r>
    </w:p>
    <w:p>
      <w:pPr>
        <w:pStyle w:val="2"/>
        <w:rPr>
          <w:rFonts w:hint="eastAsia"/>
          <w:lang w:val="en-US" w:eastAsia="zh-CN"/>
        </w:rPr>
      </w:pPr>
    </w:p>
    <w:tbl>
      <w:tblPr>
        <w:tblStyle w:val="5"/>
        <w:tblW w:w="772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
        <w:gridCol w:w="2580"/>
        <w:gridCol w:w="969"/>
        <w:gridCol w:w="870"/>
        <w:gridCol w:w="1095"/>
        <w:gridCol w:w="1035"/>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排名</w:t>
            </w:r>
          </w:p>
        </w:tc>
        <w:tc>
          <w:tcPr>
            <w:tcW w:w="25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机构名称</w:t>
            </w: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基本公共卫生项目成绩</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单项考核成绩优秀</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“优质基层服务行”能力提升加分</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观摩、表彰、亮点等加分</w:t>
            </w:r>
          </w:p>
        </w:tc>
        <w:tc>
          <w:tcPr>
            <w:tcW w:w="7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 xml:space="preserve">最终  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7"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宋体" w:eastAsia="仿宋_GB2312" w:cs="仿宋_GB2312"/>
                <w:b/>
                <w:bCs/>
                <w:i w:val="0"/>
                <w:iCs w:val="0"/>
                <w:color w:val="000000"/>
                <w:sz w:val="21"/>
                <w:szCs w:val="21"/>
                <w:u w:val="none"/>
              </w:rPr>
            </w:pPr>
          </w:p>
        </w:tc>
        <w:tc>
          <w:tcPr>
            <w:tcW w:w="2580"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宋体" w:eastAsia="仿宋_GB2312" w:cs="仿宋_GB2312"/>
                <w:b/>
                <w:bCs/>
                <w:i w:val="0"/>
                <w:iCs w:val="0"/>
                <w:color w:val="000000"/>
                <w:sz w:val="21"/>
                <w:szCs w:val="21"/>
                <w:u w:val="none"/>
              </w:rPr>
            </w:pPr>
          </w:p>
        </w:tc>
        <w:tc>
          <w:tcPr>
            <w:tcW w:w="969"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_GB2312" w:hAnsi="宋体" w:eastAsia="仿宋_GB2312" w:cs="仿宋_GB2312"/>
                <w:b/>
                <w:bCs/>
                <w:i w:val="0"/>
                <w:iCs w:val="0"/>
                <w:color w:val="000000"/>
                <w:sz w:val="21"/>
                <w:szCs w:val="21"/>
                <w:u w:val="none"/>
              </w:rPr>
            </w:pPr>
          </w:p>
        </w:tc>
        <w:tc>
          <w:tcPr>
            <w:tcW w:w="870" w:type="dxa"/>
            <w:vMerge w:val="continue"/>
            <w:tcBorders>
              <w:top w:val="single" w:color="auto" w:sz="4" w:space="0"/>
              <w:left w:val="single" w:color="000000" w:sz="4" w:space="0"/>
              <w:bottom w:val="single" w:color="auto" w:sz="4" w:space="0"/>
              <w:right w:val="nil"/>
            </w:tcBorders>
            <w:vAlign w:val="center"/>
          </w:tcPr>
          <w:p>
            <w:pPr>
              <w:jc w:val="center"/>
              <w:rPr>
                <w:rFonts w:hint="eastAsia" w:ascii="仿宋_GB2312" w:hAnsi="宋体" w:eastAsia="仿宋_GB2312" w:cs="仿宋_GB2312"/>
                <w:b/>
                <w:bCs/>
                <w:i w:val="0"/>
                <w:iCs w:val="0"/>
                <w:color w:val="000000"/>
                <w:sz w:val="21"/>
                <w:szCs w:val="21"/>
                <w:u w:val="none"/>
              </w:rPr>
            </w:pPr>
          </w:p>
        </w:tc>
        <w:tc>
          <w:tcPr>
            <w:tcW w:w="1095" w:type="dxa"/>
            <w:vMerge w:val="continue"/>
            <w:tcBorders>
              <w:top w:val="single" w:color="auto" w:sz="4" w:space="0"/>
              <w:left w:val="single" w:color="000000" w:sz="4" w:space="0"/>
              <w:bottom w:val="single" w:color="auto" w:sz="4" w:space="0"/>
              <w:right w:val="nil"/>
            </w:tcBorders>
            <w:vAlign w:val="center"/>
          </w:tcPr>
          <w:p>
            <w:pPr>
              <w:jc w:val="center"/>
              <w:rPr>
                <w:rFonts w:hint="eastAsia" w:ascii="仿宋_GB2312" w:hAnsi="宋体" w:eastAsia="仿宋_GB2312" w:cs="仿宋_GB2312"/>
                <w:b/>
                <w:bCs/>
                <w:i w:val="0"/>
                <w:iCs w:val="0"/>
                <w:color w:val="000000"/>
                <w:sz w:val="21"/>
                <w:szCs w:val="21"/>
                <w:u w:val="none"/>
              </w:rPr>
            </w:pPr>
          </w:p>
        </w:tc>
        <w:tc>
          <w:tcPr>
            <w:tcW w:w="1035" w:type="dxa"/>
            <w:vMerge w:val="continue"/>
            <w:tcBorders>
              <w:top w:val="single" w:color="auto" w:sz="4" w:space="0"/>
              <w:left w:val="single" w:color="000000" w:sz="4" w:space="0"/>
              <w:bottom w:val="single" w:color="auto" w:sz="4" w:space="0"/>
              <w:right w:val="nil"/>
            </w:tcBorders>
            <w:vAlign w:val="center"/>
          </w:tcPr>
          <w:p>
            <w:pPr>
              <w:jc w:val="center"/>
              <w:rPr>
                <w:rFonts w:hint="eastAsia" w:ascii="仿宋_GB2312" w:hAnsi="宋体" w:eastAsia="仿宋_GB2312" w:cs="仿宋_GB2312"/>
                <w:b/>
                <w:bCs/>
                <w:i w:val="0"/>
                <w:iCs w:val="0"/>
                <w:color w:val="000000"/>
                <w:sz w:val="21"/>
                <w:szCs w:val="21"/>
                <w:u w:val="none"/>
              </w:rPr>
            </w:pPr>
          </w:p>
        </w:tc>
        <w:tc>
          <w:tcPr>
            <w:tcW w:w="741"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w:t>
            </w:r>
          </w:p>
        </w:tc>
        <w:tc>
          <w:tcPr>
            <w:tcW w:w="258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满城北街社区卫生服务中心</w:t>
            </w:r>
          </w:p>
        </w:tc>
        <w:tc>
          <w:tcPr>
            <w:tcW w:w="96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96.12</w:t>
            </w:r>
          </w:p>
        </w:tc>
        <w:tc>
          <w:tcPr>
            <w:tcW w:w="87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0.2</w:t>
            </w:r>
          </w:p>
        </w:tc>
        <w:tc>
          <w:tcPr>
            <w:tcW w:w="1095"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0.38</w:t>
            </w:r>
          </w:p>
        </w:tc>
        <w:tc>
          <w:tcPr>
            <w:tcW w:w="74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阅海万家F社区卫生服务中心</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93.96</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0.2</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0.5</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1.05</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3</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丰登镇卫生院</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94.27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0.5</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0.89</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4</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黄河东路社区卫生服务中心</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95.25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0.1</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5</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良田镇卫生院</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94.13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0.81</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6</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湖畔嘉苑社区卫生服务站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94.37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0.25</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7</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颐和城府社区卫生服务站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0.05</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8</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长城中路社区卫生服务中心</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93.36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0.3</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0.32</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五里台社区卫生服务站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93.82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工业集中区社区卫生服务站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93.52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11</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阅海万家D区社区卫生服务站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93.28</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12</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紫馨苑社区卫生服务站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13</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阅海万家E社区卫生服务中心</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92.56</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0.2</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14</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东方尚都社区卫生服务站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92.74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15</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居安家园社区卫生服务站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92.64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0.03</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16</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长城花园西区社区卫生服务站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92.66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17</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亲水花园社区卫生服务站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92.59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18</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碧水蓝天网格化</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91.53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1.02</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19</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金安家园社区卫生服务站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92.43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阅海社区卫生服务站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92.37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21</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五里水乡社区卫生服务站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92.21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22</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高桥社区卫生服务站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91.97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0.09</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23</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林湖左岸社区卫生服务站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91.98</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24</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鲁银城市社区卫生服务中心</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91.7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0.13</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25</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艾依水郡社区卫生服务站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91.74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26</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长城花园社区卫生服务站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90.81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0.1</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27</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凤北家园社区卫生服务站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90.54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28</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双渠口社区卫生服务中心</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90.32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29</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民生花园社区卫生服务站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90.19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30</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中海社区卫生服务站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89.32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89.32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31</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宁安宜居社区卫生服务站</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87.92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87.92</w:t>
            </w:r>
          </w:p>
        </w:tc>
      </w:tr>
    </w:tbl>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bCs/>
          <w:spacing w:val="0"/>
          <w:kern w:val="0"/>
          <w:sz w:val="32"/>
          <w:szCs w:val="32"/>
          <w:lang w:val="en-US" w:eastAsia="zh-CN" w:bidi="ar-SA"/>
        </w:rPr>
      </w:pPr>
      <w:r>
        <w:rPr>
          <w:rFonts w:hint="eastAsia" w:ascii="仿宋_GB2312" w:hAnsi="仿宋_GB2312" w:eastAsia="仿宋_GB2312" w:cs="仿宋_GB2312"/>
          <w:bCs/>
          <w:spacing w:val="0"/>
          <w:kern w:val="0"/>
          <w:sz w:val="32"/>
          <w:szCs w:val="32"/>
          <w:lang w:val="en-US" w:eastAsia="zh-CN" w:bidi="ar-SA"/>
        </w:rPr>
        <w:t>附件3</w:t>
      </w:r>
    </w:p>
    <w:p>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pacing w:val="0"/>
          <w:kern w:val="0"/>
          <w:sz w:val="44"/>
          <w:szCs w:val="44"/>
          <w:lang w:val="en-US" w:eastAsia="zh-CN" w:bidi="ar-SA"/>
        </w:rPr>
      </w:pPr>
      <w:r>
        <w:rPr>
          <w:rFonts w:hint="eastAsia" w:ascii="方正小标宋简体" w:hAnsi="方正小标宋简体" w:eastAsia="方正小标宋简体" w:cs="方正小标宋简体"/>
          <w:bCs/>
          <w:spacing w:val="0"/>
          <w:kern w:val="0"/>
          <w:sz w:val="44"/>
          <w:szCs w:val="44"/>
          <w:lang w:val="en-US" w:eastAsia="zh-CN" w:bidi="ar-SA"/>
        </w:rPr>
        <w:t>亮点工作</w:t>
      </w:r>
    </w:p>
    <w:p>
      <w:pPr>
        <w:pStyle w:val="2"/>
        <w:widowControl w:val="0"/>
        <w:wordWrap/>
        <w:adjustRightInd/>
        <w:snapToGrid/>
        <w:spacing w:after="0" w:line="240" w:lineRule="exact"/>
        <w:ind w:left="0" w:leftChars="0" w:right="0" w:firstLine="643" w:firstLineChars="200"/>
        <w:jc w:val="both"/>
        <w:textAlignment w:val="auto"/>
        <w:outlineLvl w:val="9"/>
        <w:rPr>
          <w:rFonts w:hint="eastAsia" w:ascii="楷体_GB2312" w:hAnsi="楷体_GB2312" w:eastAsia="楷体_GB2312" w:cs="楷体_GB2312"/>
          <w:b/>
          <w:bCs/>
          <w:color w:val="auto"/>
          <w:kern w:val="2"/>
          <w:sz w:val="32"/>
          <w:szCs w:val="32"/>
          <w:lang w:val="en-US" w:eastAsia="zh-CN" w:bidi="ar-SA"/>
        </w:rPr>
      </w:pPr>
    </w:p>
    <w:p>
      <w:pPr>
        <w:pStyle w:val="2"/>
        <w:widowControl w:val="0"/>
        <w:wordWrap/>
        <w:adjustRightInd/>
        <w:snapToGrid/>
        <w:spacing w:after="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（一）优化布局延伸为民服务触角。</w:t>
      </w:r>
      <w:r>
        <w:rPr>
          <w:rFonts w:hint="eastAsia" w:ascii="仿宋_GB2312" w:hAnsi="仿宋_GB2312" w:eastAsia="仿宋_GB2312" w:cs="仿宋_GB2312"/>
          <w:b w:val="0"/>
          <w:bCs w:val="0"/>
          <w:color w:val="auto"/>
          <w:kern w:val="2"/>
          <w:sz w:val="32"/>
          <w:szCs w:val="32"/>
          <w:lang w:val="en-US" w:eastAsia="zh-CN" w:bidi="ar-SA"/>
        </w:rPr>
        <w:t>为进一步提升辖区基层医疗机构服务能力，</w:t>
      </w:r>
      <w:r>
        <w:rPr>
          <w:rFonts w:hint="eastAsia" w:ascii="仿宋_GB2312" w:hAnsi="仿宋_GB2312" w:eastAsia="仿宋_GB2312" w:cs="仿宋_GB2312"/>
          <w:b w:val="0"/>
          <w:bCs w:val="0"/>
          <w:color w:val="auto"/>
          <w:sz w:val="32"/>
          <w:szCs w:val="32"/>
          <w:lang w:val="en-US" w:eastAsia="zh-CN"/>
        </w:rPr>
        <w:t>本</w:t>
      </w:r>
      <w:r>
        <w:rPr>
          <w:rFonts w:hint="eastAsia" w:ascii="仿宋_GB2312" w:hAnsi="仿宋_GB2312" w:eastAsia="仿宋_GB2312" w:cs="仿宋_GB2312"/>
          <w:color w:val="auto"/>
          <w:sz w:val="32"/>
          <w:szCs w:val="32"/>
          <w:lang w:val="en-US" w:eastAsia="zh-CN"/>
        </w:rPr>
        <w:t>级政府投入200余万元实施高桥社区卫生服务站改扩建及光明村卫生室、临阅家园社区卫生服务站新建项目，持续优化机构合理布局，改善群众就医环境，满足群众就医需求。</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（二）用心用情服务“一老一小”。</w:t>
      </w:r>
      <w:r>
        <w:rPr>
          <w:rFonts w:hint="eastAsia" w:ascii="仿宋_GB2312" w:hAnsi="仿宋_GB2312" w:eastAsia="仿宋_GB2312" w:cs="仿宋_GB2312"/>
          <w:color w:val="auto"/>
          <w:kern w:val="2"/>
          <w:sz w:val="32"/>
          <w:szCs w:val="32"/>
          <w:lang w:val="en-US" w:eastAsia="zh-CN" w:bidi="ar-SA"/>
        </w:rPr>
        <w:t>积极争创“全国医养结合示范县（区）”，着力构建居家养老和社区医疗相协调、医养康养相结合的老年健康服务体系，不断满足老年人健康和养老服务需求，</w:t>
      </w:r>
      <w:r>
        <w:rPr>
          <w:rFonts w:hint="eastAsia" w:ascii="仿宋_GB2312" w:hAnsi="仿宋_GB2312" w:eastAsia="仿宋_GB2312" w:cs="仿宋_GB2312"/>
          <w:color w:val="000000"/>
          <w:kern w:val="2"/>
          <w:sz w:val="32"/>
          <w:szCs w:val="32"/>
          <w:lang w:val="en-US" w:eastAsia="zh-CN" w:bidi="ar-SA"/>
        </w:rPr>
        <w:t>目前已入选</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全国医养结合示范县（区）”</w:t>
      </w:r>
      <w:r>
        <w:rPr>
          <w:rFonts w:hint="eastAsia" w:ascii="仿宋_GB2312" w:hAnsi="仿宋_GB2312" w:eastAsia="仿宋_GB2312" w:cs="仿宋_GB2312"/>
          <w:color w:val="0000FF"/>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满城北街社区卫生服务中心坚持为人民群众提供安全、有效、方便的医疗卫生服务，在向辖区居民开展服务需求摸底后，该中心积极规划在中心筹建首家婴儿游泳抚触室，目前该婴儿游泳抚触室正式投入使用，为0-6个月婴儿提供游泳保健服务，有效满足广大市民朋友对儿童健康服务的需求。</w:t>
      </w:r>
    </w:p>
    <w:p>
      <w:pPr>
        <w:widowControl w:val="0"/>
        <w:pBdr>
          <w:top w:val="none" w:color="000000" w:sz="0" w:space="0"/>
          <w:left w:val="none" w:color="000000" w:sz="0" w:space="0"/>
          <w:bottom w:val="none" w:color="000000" w:sz="0" w:space="16"/>
          <w:right w:val="none" w:color="000000" w:sz="0" w:space="0"/>
        </w:pBdr>
        <w:tabs>
          <w:tab w:val="center" w:pos="4153"/>
        </w:tabs>
        <w:wordWrap/>
        <w:autoSpaceDN w:val="0"/>
        <w:adjustRightInd/>
        <w:snapToGrid w:val="0"/>
        <w:spacing w:line="560" w:lineRule="exact"/>
        <w:ind w:righ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（三）持续提升乡村医疗服务能力</w:t>
      </w:r>
      <w:r>
        <w:rPr>
          <w:rFonts w:hint="eastAsia" w:ascii="楷体_GB2312" w:hAnsi="楷体_GB2312" w:eastAsia="楷体_GB2312" w:cs="楷体_GB2312"/>
          <w:b/>
          <w:bCs/>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投入17.7万元为辖区村卫生室配备健康随访包15个，包内配有黄疸测试仪、婴儿秤等常用便捷诊查工具16种，为村医入户开展重点人群随访、个性化服务等提供便利。</w:t>
      </w:r>
    </w:p>
    <w:p>
      <w:pPr>
        <w:widowControl w:val="0"/>
        <w:pBdr>
          <w:top w:val="none" w:color="000000" w:sz="0" w:space="0"/>
          <w:left w:val="none" w:color="000000" w:sz="0" w:space="0"/>
          <w:bottom w:val="none" w:color="000000" w:sz="0" w:space="16"/>
          <w:right w:val="none" w:color="000000" w:sz="0" w:space="0"/>
        </w:pBdr>
        <w:tabs>
          <w:tab w:val="center" w:pos="4153"/>
        </w:tabs>
        <w:wordWrap/>
        <w:autoSpaceDN w:val="0"/>
        <w:adjustRightInd/>
        <w:snapToGrid w:val="0"/>
        <w:spacing w:line="560" w:lineRule="exact"/>
        <w:ind w:left="0" w:leftChars="0" w:right="0" w:firstLine="64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auto"/>
          <w:kern w:val="2"/>
          <w:sz w:val="32"/>
          <w:szCs w:val="32"/>
          <w:lang w:val="en-US" w:eastAsia="zh-CN" w:bidi="ar-SA"/>
        </w:rPr>
        <w:t>（四）中医药服务能力提质升级。</w:t>
      </w:r>
      <w:r>
        <w:rPr>
          <w:rFonts w:hint="eastAsia" w:ascii="仿宋_GB2312" w:hAnsi="仿宋_GB2312" w:eastAsia="仿宋_GB2312" w:cs="仿宋_GB2312"/>
          <w:color w:val="auto"/>
          <w:kern w:val="2"/>
          <w:sz w:val="32"/>
          <w:szCs w:val="32"/>
          <w:lang w:val="en-US" w:eastAsia="zh-CN" w:bidi="ar-SA"/>
        </w:rPr>
        <w:t>以创建全</w:t>
      </w:r>
      <w:r>
        <w:rPr>
          <w:rFonts w:hint="eastAsia" w:ascii="仿宋_GB2312" w:hAnsi="仿宋_GB2312" w:eastAsia="仿宋_GB2312" w:cs="仿宋_GB2312"/>
          <w:b w:val="0"/>
          <w:bCs w:val="0"/>
          <w:color w:val="auto"/>
          <w:spacing w:val="0"/>
          <w:kern w:val="0"/>
          <w:sz w:val="32"/>
          <w:szCs w:val="32"/>
          <w:lang w:val="en-US" w:eastAsia="zh-CN" w:bidi="ar-SA"/>
        </w:rPr>
        <w:t>国基层中医药示范县为抓手提升基础建设，乡镇卫生院、社区卫生服务中心中医馆全面建成，建设中医阁8个、中医药健康文化知识角6个</w:t>
      </w:r>
      <w:r>
        <w:rPr>
          <w:rFonts w:hint="eastAsia" w:ascii="仿宋_GB2312" w:hAnsi="仿宋_GB2312" w:eastAsia="仿宋_GB2312" w:cs="仿宋_GB2312"/>
          <w:b w:val="0"/>
          <w:bCs w:val="0"/>
          <w:color w:val="auto"/>
          <w:spacing w:val="0"/>
          <w:kern w:val="0"/>
          <w:sz w:val="32"/>
          <w:szCs w:val="32"/>
          <w:lang w:val="zh-CN" w:eastAsia="zh-CN" w:bidi="ar-SA"/>
        </w:rPr>
        <w:t>，</w:t>
      </w:r>
      <w:r>
        <w:rPr>
          <w:rFonts w:hint="eastAsia" w:ascii="仿宋_GB2312" w:hAnsi="仿宋_GB2312" w:eastAsia="仿宋_GB2312" w:cs="仿宋_GB2312"/>
          <w:b w:val="0"/>
          <w:bCs w:val="0"/>
          <w:color w:val="auto"/>
          <w:spacing w:val="0"/>
          <w:kern w:val="0"/>
          <w:sz w:val="32"/>
          <w:szCs w:val="32"/>
          <w:lang w:val="en-US" w:eastAsia="zh-CN" w:bidi="ar-SA"/>
        </w:rPr>
        <w:t>运用中医药方法为群众防治常见病及多发病</w:t>
      </w:r>
      <w:r>
        <w:rPr>
          <w:rFonts w:hint="eastAsia" w:ascii="仿宋_GB2312" w:hAnsi="仿宋_GB2312" w:eastAsia="仿宋_GB2312" w:cs="仿宋_GB2312"/>
          <w:color w:val="auto"/>
          <w:spacing w:val="0"/>
          <w:kern w:val="2"/>
          <w:sz w:val="32"/>
          <w:szCs w:val="32"/>
          <w:lang w:val="en-US" w:eastAsia="zh-CN" w:bidi="ar-SA"/>
        </w:rPr>
        <w:t>。</w:t>
      </w:r>
      <w:r>
        <w:rPr>
          <w:rFonts w:hint="eastAsia" w:ascii="仿宋_GB2312" w:hAnsi="仿宋_GB2312" w:eastAsia="仿宋_GB2312" w:cs="仿宋_GB2312"/>
          <w:sz w:val="32"/>
          <w:szCs w:val="32"/>
          <w:lang w:eastAsia="zh-CN"/>
        </w:rPr>
        <w:t>投入</w:t>
      </w:r>
      <w:r>
        <w:rPr>
          <w:rFonts w:hint="eastAsia" w:ascii="仿宋_GB2312" w:hAnsi="仿宋_GB2312" w:eastAsia="仿宋_GB2312" w:cs="仿宋_GB2312"/>
          <w:sz w:val="32"/>
          <w:szCs w:val="32"/>
        </w:rPr>
        <w:t>12.25万元在丰登镇卫生院打造首家中医药健康科普基地</w:t>
      </w:r>
      <w:r>
        <w:rPr>
          <w:rFonts w:hint="eastAsia" w:ascii="仿宋_GB2312" w:hAnsi="仿宋_GB2312" w:eastAsia="仿宋_GB2312" w:cs="仿宋_GB2312"/>
          <w:sz w:val="32"/>
          <w:szCs w:val="32"/>
          <w:lang w:eastAsia="zh-CN"/>
        </w:rPr>
        <w:t>，秉承开放、创新、体验的理念，面向公众普及中医药传统知识，</w:t>
      </w:r>
      <w:r>
        <w:rPr>
          <w:rFonts w:hint="eastAsia" w:ascii="仿宋_GB2312" w:hAnsi="仿宋_GB2312" w:eastAsia="仿宋_GB2312" w:cs="仿宋_GB2312"/>
          <w:sz w:val="32"/>
          <w:szCs w:val="32"/>
        </w:rPr>
        <w:t>提升群众的文化自信与健康素养。</w:t>
      </w:r>
    </w:p>
    <w:p>
      <w:pPr>
        <w:pStyle w:val="2"/>
        <w:widowControl w:val="0"/>
        <w:numPr>
          <w:ilvl w:val="0"/>
          <w:numId w:val="0"/>
        </w:numPr>
        <w:wordWrap/>
        <w:adjustRightInd/>
        <w:snapToGrid/>
        <w:spacing w:after="0" w:line="560" w:lineRule="exact"/>
        <w:ind w:left="0" w:leftChars="0" w:right="0" w:firstLine="0" w:firstLineChars="0"/>
        <w:jc w:val="both"/>
        <w:textAlignment w:val="auto"/>
        <w:outlineLvl w:val="9"/>
        <w:rPr>
          <w:rFonts w:hint="eastAsia" w:ascii="仿宋_GB2312" w:hAnsi="仿宋_GB2312" w:eastAsia="仿宋_GB2312" w:cs="仿宋_GB2312"/>
          <w:spacing w:val="0"/>
          <w:sz w:val="32"/>
          <w:szCs w:val="32"/>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pacing w:val="0"/>
          <w:w w:val="99"/>
          <w:sz w:val="32"/>
          <w:szCs w:val="32"/>
          <w:lang w:val="en-US" w:eastAsia="zh-CN"/>
        </w:rPr>
      </w:pPr>
    </w:p>
    <w:p>
      <w:bookmarkStart w:id="0" w:name="_GoBack"/>
      <w:bookmarkEnd w:id="0"/>
    </w:p>
    <w:sectPr>
      <w:footerReference r:id="rId5" w:type="default"/>
      <w:pgSz w:w="11906" w:h="16838"/>
      <w:pgMar w:top="1417" w:right="1587" w:bottom="1417" w:left="1644"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color="#FFFFFF" filled="f" o:preferrelative="t"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color2="#FFFFFF" focussize="0,0"/>
              <v:stroke on="f"/>
              <v:imagedata gain="65536f" blacklevel="0f" gamma="0" o:title=""/>
              <o:lock v:ext="edit" position="f" selection="f" grouping="f" rotation="f" cropping="f" text="f"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ZGQ5Y2RjNTE1NDM0MmUxZTFjNjE5MmRjZTg4NjEifQ=="/>
  </w:docVars>
  <w:rsids>
    <w:rsidRoot w:val="00000000"/>
    <w:rsid w:val="149D6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ind w:firstLine="420" w:firstLineChars="200"/>
    </w:pPr>
  </w:style>
  <w:style w:type="paragraph" w:customStyle="1" w:styleId="3">
    <w:name w:val="Body Text Indent1"/>
    <w:basedOn w:val="1"/>
    <w:autoRedefine/>
    <w:qFormat/>
    <w:uiPriority w:val="0"/>
    <w:pPr>
      <w:spacing w:after="120"/>
      <w:ind w:left="420" w:leftChars="200"/>
    </w:pPr>
    <w:rPr>
      <w:rFonts w:ascii="Times New Roman" w:hAnsi="Times New Roman" w:eastAsia="仿宋_GB2312" w:cs="Times New Roman"/>
      <w:sz w:val="32"/>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2024-03-06T03:37:53Z</dcterms:created>
  <dc:creator>Administrator</dc:creator>
  <cp:lastModifiedBy>牛顿爱吃青苹果</cp:lastModifiedBy>
  <dcterms:modified xsi:type="dcterms:W3CDTF">2024-03-06T03:38:01Z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BD9DB845E847425681ED05AF3E3C9AFA_12</vt:lpwstr>
  </property>
</Properties>
</file>