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关于</w:t>
      </w:r>
      <w:r>
        <w:rPr>
          <w:rFonts w:hint="eastAsia" w:ascii="仿宋" w:hAnsi="仿宋" w:eastAsia="仿宋"/>
          <w:sz w:val="44"/>
          <w:szCs w:val="44"/>
          <w:lang w:eastAsia="zh-CN"/>
        </w:rPr>
        <w:t>2020年</w:t>
      </w:r>
      <w:r>
        <w:rPr>
          <w:rFonts w:hint="eastAsia" w:ascii="仿宋" w:hAnsi="仿宋" w:eastAsia="仿宋"/>
          <w:sz w:val="44"/>
          <w:szCs w:val="44"/>
        </w:rPr>
        <w:t>转移支付执行情况的说明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56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一般公共预算收支平衡情况：</w:t>
      </w:r>
      <w:r>
        <w:rPr>
          <w:rFonts w:hint="eastAsia" w:ascii="仿宋" w:hAnsi="仿宋" w:eastAsia="仿宋"/>
          <w:sz w:val="32"/>
          <w:szCs w:val="32"/>
          <w:lang w:eastAsia="zh-CN"/>
        </w:rPr>
        <w:t>2020年</w:t>
      </w:r>
      <w:r>
        <w:rPr>
          <w:rFonts w:hint="eastAsia" w:ascii="仿宋" w:hAnsi="仿宋" w:eastAsia="仿宋"/>
          <w:sz w:val="32"/>
          <w:szCs w:val="32"/>
        </w:rPr>
        <w:t>，金凤区一般公共预算</w:t>
      </w:r>
      <w:r>
        <w:rPr>
          <w:rFonts w:hint="eastAsia" w:ascii="仿宋" w:hAnsi="仿宋" w:eastAsia="仿宋"/>
          <w:snapToGrid w:val="0"/>
          <w:sz w:val="32"/>
          <w:szCs w:val="32"/>
        </w:rPr>
        <w:t>总收入</w:t>
      </w:r>
      <w:r>
        <w:rPr>
          <w:rFonts w:hint="eastAsia" w:ascii="仿宋" w:hAnsi="仿宋" w:eastAsia="仿宋"/>
          <w:snapToGrid w:val="0"/>
          <w:sz w:val="32"/>
          <w:szCs w:val="32"/>
          <w:lang w:val="en-US" w:eastAsia="zh-CN"/>
        </w:rPr>
        <w:t>220075</w:t>
      </w:r>
      <w:r>
        <w:rPr>
          <w:rFonts w:hint="eastAsia" w:ascii="仿宋" w:hAnsi="仿宋" w:eastAsia="仿宋"/>
          <w:kern w:val="0"/>
          <w:sz w:val="32"/>
          <w:szCs w:val="32"/>
        </w:rPr>
        <w:t>万元，其中：</w:t>
      </w:r>
      <w:r>
        <w:rPr>
          <w:rFonts w:hint="eastAsia" w:ascii="仿宋" w:hAnsi="仿宋" w:eastAsia="仿宋"/>
          <w:sz w:val="32"/>
          <w:szCs w:val="32"/>
        </w:rPr>
        <w:t>一般公共预算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收入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>76896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kern w:val="0"/>
          <w:sz w:val="32"/>
          <w:szCs w:val="32"/>
        </w:rPr>
        <w:t>，一般性转移支付收入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>33354</w:t>
      </w:r>
      <w:r>
        <w:rPr>
          <w:rFonts w:hint="eastAsia" w:ascii="仿宋" w:hAnsi="仿宋" w:eastAsia="仿宋"/>
          <w:kern w:val="0"/>
          <w:sz w:val="32"/>
          <w:szCs w:val="32"/>
        </w:rPr>
        <w:t>万元，返还性收入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9429</w:t>
      </w:r>
      <w:r>
        <w:rPr>
          <w:rFonts w:hint="eastAsia" w:ascii="仿宋" w:hAnsi="仿宋" w:eastAsia="仿宋"/>
          <w:kern w:val="0"/>
          <w:sz w:val="32"/>
          <w:szCs w:val="32"/>
        </w:rPr>
        <w:t>万元，专项转移支付收入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87030</w:t>
      </w:r>
      <w:r>
        <w:rPr>
          <w:rFonts w:hint="eastAsia" w:ascii="仿宋" w:hAnsi="仿宋" w:eastAsia="仿宋"/>
          <w:kern w:val="0"/>
          <w:sz w:val="32"/>
          <w:szCs w:val="32"/>
        </w:rPr>
        <w:t>万元，债务转贷收入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10323</w:t>
      </w:r>
      <w:r>
        <w:rPr>
          <w:rFonts w:hint="eastAsia" w:ascii="仿宋" w:hAnsi="仿宋" w:eastAsia="仿宋"/>
          <w:kern w:val="0"/>
          <w:sz w:val="32"/>
          <w:szCs w:val="32"/>
        </w:rPr>
        <w:t>万元，上年结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余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>672</w:t>
      </w:r>
      <w:r>
        <w:rPr>
          <w:rFonts w:hint="eastAsia" w:ascii="仿宋" w:hAnsi="仿宋" w:eastAsia="仿宋"/>
          <w:kern w:val="0"/>
          <w:sz w:val="32"/>
          <w:szCs w:val="32"/>
        </w:rPr>
        <w:t>万元。一般公共预算总支出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219398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，其中：</w:t>
      </w:r>
      <w:r>
        <w:rPr>
          <w:rFonts w:hint="eastAsia" w:ascii="仿宋" w:hAnsi="仿宋" w:eastAsia="仿宋"/>
          <w:sz w:val="32"/>
          <w:szCs w:val="32"/>
        </w:rPr>
        <w:t>一般公共预算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213351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kern w:val="0"/>
          <w:sz w:val="32"/>
          <w:szCs w:val="32"/>
        </w:rPr>
        <w:t>，上解上级支出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>1988</w:t>
      </w:r>
      <w:r>
        <w:rPr>
          <w:rFonts w:hint="eastAsia" w:ascii="仿宋" w:hAnsi="仿宋" w:eastAsia="仿宋"/>
          <w:kern w:val="0"/>
          <w:sz w:val="32"/>
          <w:szCs w:val="32"/>
        </w:rPr>
        <w:t>万元，债务还本支出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3893</w:t>
      </w:r>
      <w:r>
        <w:rPr>
          <w:rFonts w:hint="eastAsia" w:ascii="仿宋" w:hAnsi="仿宋" w:eastAsia="仿宋"/>
          <w:kern w:val="0"/>
          <w:sz w:val="32"/>
          <w:szCs w:val="32"/>
        </w:rPr>
        <w:t>万元，安排预算稳定调节基金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166</w:t>
      </w:r>
      <w:r>
        <w:rPr>
          <w:rFonts w:hint="eastAsia" w:ascii="仿宋" w:hAnsi="仿宋" w:eastAsia="仿宋"/>
          <w:kern w:val="0"/>
          <w:sz w:val="32"/>
          <w:szCs w:val="32"/>
        </w:rPr>
        <w:t>万元。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收支相抵，结转下年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>677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万元。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基金预算收支平衡情况：</w:t>
      </w:r>
      <w:r>
        <w:rPr>
          <w:rFonts w:hint="eastAsia" w:ascii="仿宋" w:hAnsi="仿宋" w:eastAsia="仿宋"/>
          <w:sz w:val="32"/>
          <w:szCs w:val="32"/>
          <w:lang w:eastAsia="zh-CN"/>
        </w:rPr>
        <w:t>2020年</w:t>
      </w:r>
      <w:r>
        <w:rPr>
          <w:rFonts w:hint="eastAsia" w:ascii="仿宋" w:hAnsi="仿宋" w:eastAsia="仿宋"/>
          <w:sz w:val="32"/>
          <w:szCs w:val="32"/>
        </w:rPr>
        <w:t>，金凤区政府性基金收入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112032</w:t>
      </w:r>
      <w:r>
        <w:rPr>
          <w:rFonts w:hint="eastAsia" w:ascii="仿宋" w:hAnsi="仿宋" w:eastAsia="仿宋"/>
          <w:sz w:val="32"/>
          <w:szCs w:val="32"/>
        </w:rPr>
        <w:t>万元，其中：上级补助收入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57034</w:t>
      </w:r>
      <w:r>
        <w:rPr>
          <w:rFonts w:hint="eastAsia" w:ascii="仿宋" w:hAnsi="仿宋" w:eastAsia="仿宋"/>
          <w:sz w:val="32"/>
          <w:szCs w:val="32"/>
        </w:rPr>
        <w:t>万元，债务转贷收入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52434</w:t>
      </w:r>
      <w:r>
        <w:rPr>
          <w:rFonts w:hint="eastAsia" w:ascii="仿宋" w:hAnsi="仿宋" w:eastAsia="仿宋"/>
          <w:sz w:val="32"/>
          <w:szCs w:val="32"/>
        </w:rPr>
        <w:t>万元，上年结转资金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2564</w:t>
      </w:r>
      <w:r>
        <w:rPr>
          <w:rFonts w:hint="eastAsia" w:ascii="仿宋" w:hAnsi="仿宋" w:eastAsia="仿宋"/>
          <w:sz w:val="32"/>
          <w:szCs w:val="32"/>
        </w:rPr>
        <w:t>万元。政府性基金支出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56841</w:t>
      </w:r>
      <w:r>
        <w:rPr>
          <w:rFonts w:hint="eastAsia" w:ascii="仿宋" w:hAnsi="仿宋" w:eastAsia="仿宋"/>
          <w:sz w:val="32"/>
          <w:szCs w:val="32"/>
        </w:rPr>
        <w:t>万元，债务还本支出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52434</w:t>
      </w:r>
      <w:r>
        <w:rPr>
          <w:rFonts w:hint="eastAsia" w:ascii="仿宋" w:hAnsi="仿宋" w:eastAsia="仿宋"/>
          <w:sz w:val="32"/>
          <w:szCs w:val="32"/>
        </w:rPr>
        <w:t>万元。实际执行结果为：收支相抵，结转下年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2757</w:t>
      </w:r>
      <w:r>
        <w:rPr>
          <w:rFonts w:hint="eastAsia" w:ascii="仿宋" w:hAnsi="仿宋" w:eastAsia="仿宋"/>
          <w:sz w:val="32"/>
          <w:szCs w:val="32"/>
        </w:rPr>
        <w:t>万元。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银川市金凤区财政局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2020年9月23日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95FD8"/>
    <w:rsid w:val="0A995FD8"/>
    <w:rsid w:val="2E5233D4"/>
    <w:rsid w:val="6302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2019-09-19T02:46:00Z</dcterms:created>
  <dc:creator>Administrator</dc:creator>
  <cp:lastModifiedBy>Administrator</cp:lastModifiedBy>
  <dcterms:modified xsi:type="dcterms:W3CDTF">2021-09-08T08:49:51Z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