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宋体" w:hAnsi="宋体" w:eastAsia="宋体" w:cs="宋体"/>
          <w:color w:val="auto"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44"/>
          <w:szCs w:val="44"/>
          <w:lang w:val="en-US" w:eastAsia="zh-CN"/>
        </w:rPr>
        <w:t>附件2：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  <w:t>金凤区2023年市场监管随机抽查事项清单</w:t>
      </w:r>
      <w:bookmarkStart w:id="0" w:name="_GoBack"/>
      <w:bookmarkEnd w:id="0"/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</w:pPr>
    </w:p>
    <w:tbl>
      <w:tblPr>
        <w:tblStyle w:val="4"/>
        <w:tblW w:w="15297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367"/>
        <w:gridCol w:w="1384"/>
        <w:gridCol w:w="2714"/>
        <w:gridCol w:w="2262"/>
        <w:gridCol w:w="1165"/>
        <w:gridCol w:w="1426"/>
        <w:gridCol w:w="1131"/>
        <w:gridCol w:w="484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3" w:hRule="atLeast"/>
          <w:tblHeader/>
          <w:jc w:val="center"/>
        </w:trPr>
        <w:tc>
          <w:tcPr>
            <w:tcW w:w="36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40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抽查项目</w:t>
            </w:r>
          </w:p>
        </w:tc>
        <w:tc>
          <w:tcPr>
            <w:tcW w:w="2262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检查对象</w:t>
            </w:r>
          </w:p>
        </w:tc>
        <w:tc>
          <w:tcPr>
            <w:tcW w:w="116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事项类别</w:t>
            </w:r>
          </w:p>
        </w:tc>
        <w:tc>
          <w:tcPr>
            <w:tcW w:w="1426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检查方式</w:t>
            </w:r>
          </w:p>
        </w:tc>
        <w:tc>
          <w:tcPr>
            <w:tcW w:w="1131" w:type="dxa"/>
            <w:vMerge w:val="restart"/>
            <w:tcBorders>
              <w:top w:val="single" w:color="000000" w:sz="4" w:space="0"/>
              <w:lef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检查主体</w:t>
            </w:r>
          </w:p>
        </w:tc>
        <w:tc>
          <w:tcPr>
            <w:tcW w:w="484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检查依据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3" w:hRule="atLeast"/>
          <w:tblHeader/>
          <w:jc w:val="center"/>
        </w:trPr>
        <w:tc>
          <w:tcPr>
            <w:tcW w:w="367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50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="仿宋" w:hAnsi="仿宋" w:eastAsia="仿宋" w:cs="仿宋"/>
                <w:b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384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抽查类别</w:t>
            </w:r>
          </w:p>
        </w:tc>
        <w:tc>
          <w:tcPr>
            <w:tcW w:w="2714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抽查事项</w:t>
            </w:r>
          </w:p>
        </w:tc>
        <w:tc>
          <w:tcPr>
            <w:tcW w:w="2262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50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="仿宋" w:hAnsi="仿宋" w:eastAsia="仿宋" w:cs="仿宋"/>
                <w:b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165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50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="仿宋" w:hAnsi="仿宋" w:eastAsia="仿宋" w:cs="仿宋"/>
                <w:b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426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50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="仿宋" w:hAnsi="仿宋" w:eastAsia="仿宋" w:cs="仿宋"/>
                <w:b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131" w:type="dxa"/>
            <w:vMerge w:val="continue"/>
            <w:tcBorders>
              <w:left w:val="single" w:color="000000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50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="仿宋" w:hAnsi="仿宋" w:eastAsia="仿宋" w:cs="仿宋"/>
                <w:b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4848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500" w:lineRule="exact"/>
              <w:ind w:left="0" w:leftChars="0" w:right="0" w:rightChars="0" w:firstLine="0" w:firstLineChars="0"/>
              <w:jc w:val="both"/>
              <w:outlineLvl w:val="9"/>
              <w:rPr>
                <w:rFonts w:hint="eastAsia" w:ascii="仿宋" w:hAnsi="仿宋" w:eastAsia="仿宋" w:cs="仿宋"/>
                <w:b/>
                <w:i w:val="0"/>
                <w:color w:val="auto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06" w:hRule="atLeast"/>
          <w:jc w:val="center"/>
        </w:trPr>
        <w:tc>
          <w:tcPr>
            <w:tcW w:w="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val="en-US" w:eastAsia="zh-CN"/>
              </w:rPr>
              <w:t>1</w:t>
            </w:r>
          </w:p>
        </w:tc>
        <w:tc>
          <w:tcPr>
            <w:tcW w:w="138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val="en-US" w:eastAsia="zh-CN"/>
              </w:rPr>
              <w:t>粮食购销领域</w:t>
            </w:r>
          </w:p>
        </w:tc>
        <w:tc>
          <w:tcPr>
            <w:tcW w:w="271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val="en-US" w:eastAsia="zh-CN"/>
              </w:rPr>
              <w:t>对原粮收购市场的监督检查</w:t>
            </w:r>
          </w:p>
        </w:tc>
        <w:tc>
          <w:tcPr>
            <w:tcW w:w="226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val="en-US" w:eastAsia="zh-CN"/>
              </w:rPr>
              <w:t>双随机一公开平台备案企业</w:t>
            </w:r>
          </w:p>
        </w:tc>
        <w:tc>
          <w:tcPr>
            <w:tcW w:w="116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val="en-US" w:eastAsia="zh-CN"/>
              </w:rPr>
              <w:t>一般检查事项</w:t>
            </w:r>
          </w:p>
        </w:tc>
        <w:tc>
          <w:tcPr>
            <w:tcW w:w="142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val="en-US" w:eastAsia="zh-CN"/>
              </w:rPr>
              <w:t>现场检查</w:t>
            </w:r>
          </w:p>
        </w:tc>
        <w:tc>
          <w:tcPr>
            <w:tcW w:w="113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val="en-US" w:eastAsia="zh-CN"/>
              </w:rPr>
              <w:t>粮食和物资储备部门</w:t>
            </w:r>
          </w:p>
        </w:tc>
        <w:tc>
          <w:tcPr>
            <w:tcW w:w="4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eastAsia="zh-CN"/>
              </w:rPr>
              <w:t>《粮食流通管理条例》第十条、第十一条、第十二条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533" w:hRule="atLeast"/>
          <w:jc w:val="center"/>
        </w:trPr>
        <w:tc>
          <w:tcPr>
            <w:tcW w:w="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val="en-US" w:eastAsia="zh-CN"/>
              </w:rPr>
              <w:t>2</w:t>
            </w:r>
          </w:p>
        </w:tc>
        <w:tc>
          <w:tcPr>
            <w:tcW w:w="13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val="en-US" w:eastAsia="zh-CN"/>
              </w:rPr>
              <w:t>粮食购销领域</w:t>
            </w:r>
          </w:p>
        </w:tc>
        <w:tc>
          <w:tcPr>
            <w:tcW w:w="27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val="en-US" w:eastAsia="zh-CN"/>
              </w:rPr>
              <w:t>对安全储粮、安全生产的检查</w:t>
            </w:r>
          </w:p>
        </w:tc>
        <w:tc>
          <w:tcPr>
            <w:tcW w:w="2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val="en-US" w:eastAsia="zh-CN"/>
              </w:rPr>
              <w:t>双随机一公开平台备案企业</w:t>
            </w:r>
          </w:p>
        </w:tc>
        <w:tc>
          <w:tcPr>
            <w:tcW w:w="11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val="en-US" w:eastAsia="zh-CN"/>
              </w:rPr>
              <w:t>重点检查事项</w:t>
            </w:r>
          </w:p>
        </w:tc>
        <w:tc>
          <w:tcPr>
            <w:tcW w:w="1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val="en-US" w:eastAsia="zh-CN"/>
              </w:rPr>
              <w:t>现场检查、书面检查</w:t>
            </w:r>
          </w:p>
        </w:tc>
        <w:tc>
          <w:tcPr>
            <w:tcW w:w="11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val="en-US" w:eastAsia="zh-CN"/>
              </w:rPr>
              <w:t>粮食和物资储备部门</w:t>
            </w:r>
          </w:p>
        </w:tc>
        <w:tc>
          <w:tcPr>
            <w:tcW w:w="4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val="en-US" w:eastAsia="zh-CN"/>
              </w:rPr>
              <w:t>《粮库安全生产守则》</w:t>
            </w:r>
            <w:r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eastAsia="zh-CN"/>
              </w:rPr>
              <w:t>第十七条、第二十一条、第二十二条《</w:t>
            </w:r>
            <w:r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  <w:t>粮油储存安全责任暂行规定</w:t>
            </w:r>
            <w:r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eastAsia="zh-CN"/>
              </w:rPr>
              <w:t>》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28" w:hRule="atLeast"/>
          <w:jc w:val="center"/>
        </w:trPr>
        <w:tc>
          <w:tcPr>
            <w:tcW w:w="3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val="en-US" w:eastAsia="zh-CN"/>
              </w:rPr>
              <w:t>3</w:t>
            </w:r>
          </w:p>
        </w:tc>
        <w:tc>
          <w:tcPr>
            <w:tcW w:w="13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27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2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1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4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11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48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eastAsia="zh-CN"/>
              </w:rPr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cxYTk2ZTFhYzUxMmRiNjhmY2Y0YzVjMzc5ODkwMjYifQ=="/>
  </w:docVars>
  <w:rsids>
    <w:rsidRoot w:val="765D694A"/>
    <w:rsid w:val="765D69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 w:cs="Times New Roman"/>
      <w:b/>
      <w:bCs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uiPriority w:val="0"/>
    <w:pPr>
      <w:ind w:firstLine="20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2023-03-24T02:16:00Z</dcterms:created>
  <dc:creator>张婕</dc:creator>
  <cp:lastModifiedBy>张婕</cp:lastModifiedBy>
  <dcterms:modified xsi:type="dcterms:W3CDTF">2023-03-24T02:17:25Z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D26407E98CD84B3DAA42677FC71CC23F</vt:lpwstr>
  </property>
</Properties>
</file>