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2017年1-12月份金凤区主要经济指标完成情况表</w:t>
      </w:r>
    </w:p>
    <w:p>
      <w:pPr>
        <w:spacing w:line="520" w:lineRule="exact"/>
        <w:jc w:val="center"/>
        <w:rPr>
          <w:rFonts w:hint="eastAsia" w:ascii="黑体" w:eastAsia="黑体"/>
          <w:sz w:val="10"/>
          <w:szCs w:val="44"/>
        </w:rPr>
      </w:pPr>
    </w:p>
    <w:tbl>
      <w:tblPr>
        <w:tblStyle w:val="3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850"/>
        <w:gridCol w:w="1276"/>
        <w:gridCol w:w="1559"/>
        <w:gridCol w:w="1276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指标名称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绝对值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在全市排名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增速(%)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在全市排名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地区生产总值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217.86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第一产业增加值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3.43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3.6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第二产业增加值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105.62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0.9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第三产业增加值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108.81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9.3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规模以上工业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增加值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31.4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-1.3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固定资产投资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351.79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9.2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社会消费品零售总额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81.35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地方公共财政预算收入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6.42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16.7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城镇居民人均可支配收入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35560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8.6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农村居民人均可支配收入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11629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8.2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74AAD"/>
    <w:rsid w:val="2DCC3F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2018-04-26T08:18:20Z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