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C37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_GBK" w:hAnsi="方正小标宋_GBK" w:eastAsia="方正小标宋_GBK" w:cs="方正小标宋_GBK"/>
          <w:sz w:val="32"/>
          <w:szCs w:val="32"/>
          <w:lang w:val="en-US" w:eastAsia="zh-CN"/>
        </w:rPr>
        <w:t>银川市金凤区人民政府本级行政机关机构职能目录</w:t>
      </w:r>
    </w:p>
    <w:tbl>
      <w:tblPr>
        <w:tblStyle w:val="4"/>
        <w:tblpPr w:leftFromText="180" w:rightFromText="180" w:vertAnchor="text" w:horzAnchor="page" w:tblpX="1802" w:tblpY="489"/>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3350"/>
        <w:gridCol w:w="1536"/>
        <w:gridCol w:w="2000"/>
      </w:tblGrid>
      <w:tr w14:paraId="6B97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1E72B3DB">
            <w:pPr>
              <w:widowControl w:val="0"/>
              <w:wordWrap/>
              <w:adjustRightInd/>
              <w:snapToGrid/>
              <w:spacing w:line="500" w:lineRule="exact"/>
              <w:ind w:left="0" w:leftChars="0" w:right="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单位全称</w:t>
            </w:r>
          </w:p>
        </w:tc>
        <w:tc>
          <w:tcPr>
            <w:tcW w:w="3350" w:type="dxa"/>
            <w:vAlign w:val="center"/>
          </w:tcPr>
          <w:p w14:paraId="4197666D">
            <w:pPr>
              <w:widowControl w:val="0"/>
              <w:wordWrap/>
              <w:adjustRightInd/>
              <w:snapToGrid/>
              <w:spacing w:line="360" w:lineRule="exact"/>
              <w:ind w:left="0" w:leftChars="0" w:right="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银川市金凤区财政局</w:t>
            </w:r>
          </w:p>
        </w:tc>
        <w:tc>
          <w:tcPr>
            <w:tcW w:w="1536" w:type="dxa"/>
            <w:vAlign w:val="center"/>
          </w:tcPr>
          <w:p w14:paraId="2ACC5D00">
            <w:pPr>
              <w:widowControl w:val="0"/>
              <w:wordWrap/>
              <w:adjustRightInd/>
              <w:snapToGrid/>
              <w:spacing w:line="500" w:lineRule="exact"/>
              <w:ind w:left="0" w:leftChars="0" w:right="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规范简称</w:t>
            </w:r>
          </w:p>
        </w:tc>
        <w:tc>
          <w:tcPr>
            <w:tcW w:w="2000" w:type="dxa"/>
            <w:vAlign w:val="center"/>
          </w:tcPr>
          <w:p w14:paraId="458C6D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w:t>
            </w:r>
          </w:p>
        </w:tc>
      </w:tr>
      <w:tr w14:paraId="07D2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67AEA26C">
            <w:pPr>
              <w:widowControl w:val="0"/>
              <w:wordWrap/>
              <w:adjustRightInd/>
              <w:snapToGrid/>
              <w:spacing w:line="500" w:lineRule="exact"/>
              <w:ind w:left="0" w:leftChars="0" w:right="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加挂牌子</w:t>
            </w:r>
          </w:p>
        </w:tc>
        <w:tc>
          <w:tcPr>
            <w:tcW w:w="3350" w:type="dxa"/>
            <w:vAlign w:val="center"/>
          </w:tcPr>
          <w:p w14:paraId="5372F050">
            <w:pPr>
              <w:widowControl w:val="0"/>
              <w:tabs>
                <w:tab w:val="left" w:pos="1347"/>
              </w:tabs>
              <w:wordWrap/>
              <w:adjustRightInd/>
              <w:snapToGrid/>
              <w:spacing w:line="300" w:lineRule="exact"/>
              <w:ind w:left="0" w:leftChars="0" w:right="0" w:firstLine="0" w:firstLineChars="0"/>
              <w:jc w:val="center"/>
              <w:textAlignment w:val="auto"/>
              <w:outlineLvl w:val="9"/>
              <w:rPr>
                <w:rFonts w:hint="eastAsia" w:ascii="仿宋" w:hAnsi="仿宋" w:eastAsia="仿宋" w:cs="仿宋"/>
                <w:sz w:val="24"/>
                <w:szCs w:val="24"/>
                <w:lang w:val="en-US"/>
              </w:rPr>
            </w:pPr>
            <w:r>
              <w:rPr>
                <w:rFonts w:hint="eastAsia" w:ascii="仿宋" w:hAnsi="仿宋" w:eastAsia="仿宋" w:cs="仿宋"/>
                <w:sz w:val="24"/>
                <w:szCs w:val="24"/>
                <w:lang w:val="en-US" w:eastAsia="zh-CN"/>
              </w:rPr>
              <w:t>无</w:t>
            </w:r>
          </w:p>
        </w:tc>
        <w:tc>
          <w:tcPr>
            <w:tcW w:w="1536" w:type="dxa"/>
            <w:vAlign w:val="center"/>
          </w:tcPr>
          <w:p w14:paraId="01ABA290">
            <w:pPr>
              <w:widowControl w:val="0"/>
              <w:wordWrap/>
              <w:adjustRightInd/>
              <w:snapToGrid/>
              <w:spacing w:line="500" w:lineRule="exact"/>
              <w:ind w:left="0" w:leftChars="0" w:right="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单位性质</w:t>
            </w:r>
          </w:p>
        </w:tc>
        <w:tc>
          <w:tcPr>
            <w:tcW w:w="2000" w:type="dxa"/>
            <w:vAlign w:val="center"/>
          </w:tcPr>
          <w:p w14:paraId="2938D877">
            <w:pPr>
              <w:widowControl w:val="0"/>
              <w:wordWrap/>
              <w:adjustRightInd/>
              <w:snapToGrid/>
              <w:spacing w:line="500" w:lineRule="exact"/>
              <w:ind w:left="0" w:leftChars="0" w:right="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工作部门</w:t>
            </w:r>
          </w:p>
        </w:tc>
      </w:tr>
      <w:tr w14:paraId="7B7D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36" w:type="dxa"/>
            <w:vAlign w:val="center"/>
          </w:tcPr>
          <w:p w14:paraId="75CA9769">
            <w:pPr>
              <w:widowControl w:val="0"/>
              <w:wordWrap/>
              <w:adjustRightInd/>
              <w:snapToGrid/>
              <w:spacing w:line="500" w:lineRule="exact"/>
              <w:ind w:left="0" w:leftChars="0" w:right="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单位级别</w:t>
            </w:r>
          </w:p>
        </w:tc>
        <w:tc>
          <w:tcPr>
            <w:tcW w:w="3350" w:type="dxa"/>
            <w:vAlign w:val="center"/>
          </w:tcPr>
          <w:p w14:paraId="1FDEFD75">
            <w:pPr>
              <w:widowControl w:val="0"/>
              <w:wordWrap/>
              <w:adjustRightInd/>
              <w:snapToGrid/>
              <w:spacing w:line="500" w:lineRule="exact"/>
              <w:ind w:left="0" w:leftChars="0" w:right="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正科级</w:t>
            </w:r>
          </w:p>
        </w:tc>
        <w:tc>
          <w:tcPr>
            <w:tcW w:w="1536" w:type="dxa"/>
            <w:vAlign w:val="center"/>
          </w:tcPr>
          <w:p w14:paraId="1A1284AF">
            <w:pPr>
              <w:widowControl w:val="0"/>
              <w:wordWrap/>
              <w:adjustRightInd/>
              <w:snapToGrid/>
              <w:spacing w:line="500" w:lineRule="exact"/>
              <w:ind w:left="0" w:leftChars="0" w:right="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机构设置</w:t>
            </w:r>
          </w:p>
        </w:tc>
        <w:tc>
          <w:tcPr>
            <w:tcW w:w="2000" w:type="dxa"/>
            <w:vAlign w:val="center"/>
          </w:tcPr>
          <w:p w14:paraId="644B9215">
            <w:pPr>
              <w:widowControl w:val="0"/>
              <w:wordWrap/>
              <w:adjustRightInd/>
              <w:snapToGrid/>
              <w:spacing w:line="300" w:lineRule="exact"/>
              <w:ind w:left="0" w:leftChars="0" w:right="0" w:firstLine="0" w:firstLineChars="0"/>
              <w:jc w:val="center"/>
              <w:textAlignment w:val="auto"/>
              <w:outlineLvl w:val="9"/>
              <w:rPr>
                <w:rFonts w:hint="default" w:ascii="仿宋" w:hAnsi="仿宋" w:eastAsia="仿宋" w:cs="仿宋"/>
                <w:sz w:val="24"/>
                <w:szCs w:val="24"/>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下设岗位4个</w:t>
            </w:r>
          </w:p>
        </w:tc>
      </w:tr>
      <w:tr w14:paraId="0ED3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5B0405A7">
            <w:pPr>
              <w:widowControl w:val="0"/>
              <w:wordWrap/>
              <w:adjustRightInd/>
              <w:snapToGrid/>
              <w:spacing w:line="500" w:lineRule="exact"/>
              <w:ind w:left="0" w:leftChars="0" w:right="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办公地址</w:t>
            </w:r>
          </w:p>
        </w:tc>
        <w:tc>
          <w:tcPr>
            <w:tcW w:w="3350" w:type="dxa"/>
            <w:vAlign w:val="center"/>
          </w:tcPr>
          <w:p w14:paraId="61B700C8">
            <w:pPr>
              <w:widowControl w:val="0"/>
              <w:wordWrap/>
              <w:adjustRightInd/>
              <w:snapToGrid/>
              <w:spacing w:line="300" w:lineRule="exact"/>
              <w:ind w:left="0" w:leftChars="0" w:right="0" w:firstLine="0" w:firstLineChars="0"/>
              <w:jc w:val="center"/>
              <w:textAlignment w:val="auto"/>
              <w:outlineLvl w:val="9"/>
              <w:rPr>
                <w:rFonts w:hint="eastAsia" w:ascii="仿宋" w:hAnsi="仿宋" w:eastAsia="仿宋" w:cs="仿宋"/>
                <w:sz w:val="24"/>
                <w:szCs w:val="24"/>
                <w:lang w:val="en-US"/>
              </w:rPr>
            </w:pPr>
            <w:r>
              <w:rPr>
                <w:rFonts w:hint="eastAsia" w:ascii="仿宋" w:hAnsi="仿宋" w:eastAsia="仿宋" w:cs="仿宋"/>
                <w:sz w:val="24"/>
                <w:szCs w:val="24"/>
                <w:lang w:val="en-US" w:eastAsia="zh-CN"/>
              </w:rPr>
              <w:t>银川市金凤区黄河东路721号</w:t>
            </w:r>
          </w:p>
        </w:tc>
        <w:tc>
          <w:tcPr>
            <w:tcW w:w="1536" w:type="dxa"/>
            <w:vAlign w:val="center"/>
          </w:tcPr>
          <w:p w14:paraId="117919DF">
            <w:pPr>
              <w:widowControl w:val="0"/>
              <w:wordWrap/>
              <w:adjustRightInd/>
              <w:snapToGrid/>
              <w:spacing w:line="500" w:lineRule="exact"/>
              <w:ind w:left="0" w:leftChars="0" w:right="0" w:firstLine="0" w:firstLineChars="0"/>
              <w:jc w:val="center"/>
              <w:textAlignment w:val="auto"/>
              <w:outlineLvl w:val="9"/>
              <w:rPr>
                <w:rFonts w:hint="eastAsia" w:ascii="仿宋" w:hAnsi="仿宋" w:eastAsia="仿宋" w:cs="仿宋"/>
                <w:sz w:val="24"/>
                <w:szCs w:val="24"/>
                <w:lang w:val="en-US" w:eastAsia="zh-CN"/>
              </w:rPr>
            </w:pPr>
            <w:r>
              <w:rPr>
                <w:rFonts w:hint="eastAsia" w:ascii="黑体" w:hAnsi="黑体" w:eastAsia="黑体" w:cs="黑体"/>
                <w:sz w:val="24"/>
                <w:szCs w:val="24"/>
                <w:lang w:val="en-US" w:eastAsia="zh-CN"/>
              </w:rPr>
              <w:t>办公电话</w:t>
            </w:r>
          </w:p>
        </w:tc>
        <w:tc>
          <w:tcPr>
            <w:tcW w:w="2000" w:type="dxa"/>
            <w:vAlign w:val="center"/>
          </w:tcPr>
          <w:p w14:paraId="0B3E6375">
            <w:pPr>
              <w:widowControl w:val="0"/>
              <w:wordWrap/>
              <w:adjustRightInd/>
              <w:snapToGrid/>
              <w:spacing w:line="500" w:lineRule="exact"/>
              <w:ind w:left="0" w:leftChars="0" w:right="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rPr>
              <w:t>0951-</w:t>
            </w:r>
            <w:r>
              <w:rPr>
                <w:rFonts w:hint="eastAsia" w:ascii="仿宋" w:hAnsi="仿宋" w:eastAsia="仿宋" w:cs="仿宋"/>
                <w:sz w:val="24"/>
                <w:szCs w:val="24"/>
                <w:lang w:val="en-US" w:eastAsia="zh-CN"/>
              </w:rPr>
              <w:t>5035214</w:t>
            </w:r>
          </w:p>
        </w:tc>
      </w:tr>
      <w:tr w14:paraId="442C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31531D35">
            <w:pPr>
              <w:widowControl w:val="0"/>
              <w:wordWrap/>
              <w:adjustRightInd/>
              <w:snapToGrid/>
              <w:spacing w:line="500" w:lineRule="exact"/>
              <w:ind w:left="0" w:leftChars="0" w:right="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办公时间</w:t>
            </w:r>
          </w:p>
        </w:tc>
        <w:tc>
          <w:tcPr>
            <w:tcW w:w="6886" w:type="dxa"/>
            <w:gridSpan w:val="3"/>
            <w:vAlign w:val="center"/>
          </w:tcPr>
          <w:p w14:paraId="42702F40">
            <w:pPr>
              <w:widowControl w:val="0"/>
              <w:wordWrap/>
              <w:adjustRightInd/>
              <w:snapToGrid/>
              <w:spacing w:line="500" w:lineRule="exact"/>
              <w:ind w:left="0" w:leftChars="0" w:right="0" w:firstLine="0" w:firstLineChars="0"/>
              <w:jc w:val="center"/>
              <w:textAlignment w:val="auto"/>
              <w:outlineLvl w:val="9"/>
              <w:rPr>
                <w:rFonts w:hint="eastAsia" w:ascii="仿宋" w:hAnsi="仿宋" w:eastAsia="仿宋" w:cs="仿宋"/>
                <w:sz w:val="24"/>
                <w:szCs w:val="24"/>
                <w:lang w:val="en-US"/>
              </w:rPr>
            </w:pPr>
            <w:r>
              <w:rPr>
                <w:rFonts w:hint="eastAsia" w:ascii="仿宋" w:hAnsi="仿宋" w:eastAsia="仿宋" w:cs="仿宋"/>
                <w:sz w:val="24"/>
                <w:szCs w:val="24"/>
                <w:lang w:val="en-US"/>
              </w:rPr>
              <w:t>正常工作日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en-US"/>
              </w:rPr>
              <w:t>上午9:00-12:00，下午14:00-18:00</w:t>
            </w:r>
          </w:p>
        </w:tc>
      </w:tr>
      <w:tr w14:paraId="50ED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trPr>
        <w:tc>
          <w:tcPr>
            <w:tcW w:w="1636" w:type="dxa"/>
            <w:vAlign w:val="center"/>
          </w:tcPr>
          <w:p w14:paraId="1CEE0629">
            <w:pPr>
              <w:widowControl w:val="0"/>
              <w:wordWrap/>
              <w:adjustRightInd/>
              <w:snapToGrid/>
              <w:spacing w:line="500" w:lineRule="exact"/>
              <w:ind w:left="0" w:leftChars="0" w:right="0" w:firstLine="0" w:firstLineChars="0"/>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主要职责</w:t>
            </w:r>
          </w:p>
        </w:tc>
        <w:tc>
          <w:tcPr>
            <w:tcW w:w="6886" w:type="dxa"/>
            <w:gridSpan w:val="3"/>
            <w:vAlign w:val="top"/>
          </w:tcPr>
          <w:p w14:paraId="24B5996A">
            <w:pPr>
              <w:pStyle w:val="2"/>
              <w:keepNext w:val="0"/>
              <w:keepLines w:val="0"/>
              <w:widowControl/>
              <w:suppressLineNumbers w:val="0"/>
              <w:wordWrap w:val="0"/>
              <w:spacing w:before="0" w:beforeAutospacing="0" w:after="0" w:afterAutospacing="0" w:line="444" w:lineRule="atLeast"/>
              <w:ind w:left="0" w:right="0" w:firstLine="456"/>
              <w:rPr>
                <w:sz w:val="22"/>
                <w:szCs w:val="22"/>
              </w:rPr>
            </w:pPr>
            <w:r>
              <w:rPr>
                <w:rFonts w:ascii="仿宋_GB2312" w:hAnsi="sans-serif" w:eastAsia="仿宋_GB2312" w:cs="仿宋_GB2312"/>
                <w:sz w:val="22"/>
                <w:szCs w:val="22"/>
              </w:rPr>
              <w:t>（一）贯彻实施有关法律、法规、规章，执行国家有关财税政策；拟定并执行财政发展规划；组织拟订财税、金</w:t>
            </w:r>
            <w:bookmarkStart w:id="0" w:name="_GoBack"/>
            <w:bookmarkEnd w:id="0"/>
            <w:r>
              <w:rPr>
                <w:rFonts w:ascii="仿宋_GB2312" w:hAnsi="sans-serif" w:eastAsia="仿宋_GB2312" w:cs="仿宋_GB2312"/>
                <w:sz w:val="22"/>
                <w:szCs w:val="22"/>
              </w:rPr>
              <w:t>融服务管理、国有资产、政府采购、财务会计等方面的制度，并监督执行。</w:t>
            </w:r>
          </w:p>
          <w:p w14:paraId="006FEF09">
            <w:pPr>
              <w:pStyle w:val="2"/>
              <w:keepNext w:val="0"/>
              <w:keepLines w:val="0"/>
              <w:widowControl/>
              <w:suppressLineNumbers w:val="0"/>
              <w:wordWrap w:val="0"/>
              <w:spacing w:before="0" w:beforeAutospacing="0" w:after="0" w:afterAutospacing="0" w:line="444" w:lineRule="atLeast"/>
              <w:ind w:left="0" w:right="0" w:firstLine="456"/>
              <w:rPr>
                <w:sz w:val="22"/>
                <w:szCs w:val="22"/>
              </w:rPr>
            </w:pPr>
            <w:r>
              <w:rPr>
                <w:rFonts w:hint="eastAsia" w:ascii="仿宋_GB2312" w:hAnsi="sans-serif" w:eastAsia="仿宋_GB2312" w:cs="仿宋_GB2312"/>
                <w:sz w:val="22"/>
                <w:szCs w:val="22"/>
              </w:rPr>
              <w:t>（二）承担财政收支管理责任。负责编制辖区年度预（决）算草案、财政收入计划并组织执行；受区政府委托向人民代表大会及其常委会报告本级财政预算、执行和决算等情况，负责本级预决算公开；组织拟定辖区经费开支标准、定额，审核批复本级部门（单位）年度预（决）算；负责财政预（决）算公开和预算绩效管理工作。</w:t>
            </w:r>
          </w:p>
          <w:p w14:paraId="5617B2CD">
            <w:pPr>
              <w:pStyle w:val="2"/>
              <w:keepNext w:val="0"/>
              <w:keepLines w:val="0"/>
              <w:widowControl/>
              <w:suppressLineNumbers w:val="0"/>
              <w:wordWrap w:val="0"/>
              <w:spacing w:before="0" w:beforeAutospacing="0" w:after="0" w:afterAutospacing="0" w:line="444" w:lineRule="atLeast"/>
              <w:ind w:left="0" w:right="0" w:firstLine="456"/>
              <w:rPr>
                <w:sz w:val="22"/>
                <w:szCs w:val="22"/>
              </w:rPr>
            </w:pPr>
            <w:r>
              <w:rPr>
                <w:rFonts w:hint="eastAsia" w:ascii="仿宋_GB2312" w:hAnsi="sans-serif" w:eastAsia="仿宋_GB2312" w:cs="仿宋_GB2312"/>
                <w:sz w:val="22"/>
                <w:szCs w:val="22"/>
              </w:rPr>
              <w:t>（三）贯彻执行国家及自治区非税收入、政府性基金管理有关政策和制度，组织落实本级财政税收收入计划，管理本级各项财政收入、非税收入、行政事业性收费；管理财政票据。</w:t>
            </w:r>
          </w:p>
          <w:p w14:paraId="0E5788D8">
            <w:pPr>
              <w:pStyle w:val="2"/>
              <w:keepNext w:val="0"/>
              <w:keepLines w:val="0"/>
              <w:widowControl/>
              <w:suppressLineNumbers w:val="0"/>
              <w:wordWrap w:val="0"/>
              <w:spacing w:before="0" w:beforeAutospacing="0" w:after="0" w:afterAutospacing="0" w:line="444" w:lineRule="atLeast"/>
              <w:ind w:left="0" w:right="0" w:firstLine="456"/>
              <w:rPr>
                <w:sz w:val="22"/>
                <w:szCs w:val="22"/>
              </w:rPr>
            </w:pPr>
            <w:r>
              <w:rPr>
                <w:rFonts w:hint="eastAsia" w:ascii="仿宋_GB2312" w:hAnsi="sans-serif" w:eastAsia="仿宋_GB2312" w:cs="仿宋_GB2312"/>
                <w:sz w:val="22"/>
                <w:szCs w:val="22"/>
              </w:rPr>
              <w:t>（四）负责辖区国库和财政专户管理，执行国库集中支付，审核和汇总编制本级财政总决算、部门决算、政府综合财务报告。</w:t>
            </w:r>
          </w:p>
          <w:p w14:paraId="18B36CDE">
            <w:pPr>
              <w:pStyle w:val="2"/>
              <w:keepNext w:val="0"/>
              <w:keepLines w:val="0"/>
              <w:widowControl/>
              <w:suppressLineNumbers w:val="0"/>
              <w:wordWrap w:val="0"/>
              <w:spacing w:before="0" w:beforeAutospacing="0" w:after="0" w:afterAutospacing="0" w:line="444" w:lineRule="atLeast"/>
              <w:ind w:left="0" w:right="0" w:firstLine="456"/>
              <w:rPr>
                <w:sz w:val="22"/>
                <w:szCs w:val="22"/>
              </w:rPr>
            </w:pPr>
            <w:r>
              <w:rPr>
                <w:rFonts w:hint="eastAsia" w:ascii="仿宋_GB2312" w:hAnsi="sans-serif" w:eastAsia="仿宋_GB2312" w:cs="仿宋_GB2312"/>
                <w:sz w:val="22"/>
                <w:szCs w:val="22"/>
              </w:rPr>
              <w:t>（五）贯彻执行国家有关行政事业单位国有资产管理的方针、政策、法律、法规规章；拟订辖区国有资产管理方案、规定、办法，按分工管理行政事业单位国有资产；组织实施清产核资、产权界定、查处国有资产流失、产权变动管理等国有资产管理基础工作；负责向区政府提出国有资产管理重大事项议案报告，监缴国有资产收益；受区政府委托向区人大常委会报告本级国有资产管理情况；负责行政机构、事业单位、社会团体财政预算内的其他收支管理。</w:t>
            </w:r>
          </w:p>
          <w:p w14:paraId="127B403F">
            <w:pPr>
              <w:pStyle w:val="2"/>
              <w:keepNext w:val="0"/>
              <w:keepLines w:val="0"/>
              <w:widowControl/>
              <w:suppressLineNumbers w:val="0"/>
              <w:wordWrap w:val="0"/>
              <w:spacing w:before="0" w:beforeAutospacing="0" w:after="0" w:afterAutospacing="0" w:line="444" w:lineRule="atLeast"/>
              <w:ind w:left="0" w:right="0" w:firstLine="456"/>
              <w:rPr>
                <w:sz w:val="22"/>
                <w:szCs w:val="22"/>
              </w:rPr>
            </w:pPr>
            <w:r>
              <w:rPr>
                <w:rFonts w:hint="eastAsia" w:ascii="仿宋_GB2312" w:hAnsi="sans-serif" w:eastAsia="仿宋_GB2312" w:cs="仿宋_GB2312"/>
                <w:sz w:val="22"/>
                <w:szCs w:val="22"/>
              </w:rPr>
              <w:t>（六）根据区政府授权，依照有关法律、法规，履行出资人职责，监管区属企业国有资产，加强国有资产管理工作，收取本区国有及国有控股企业的国有资本收益。指导推进国有企业改革和重组，推进中国特色现代国有企业制度建设，完善公司法人治理结构，推动国有经济布局和结构的战略性调整。配合相关部门做好所监管企业领导人员管理、任免、考核相关工作，根据其经营业绩进行奖惩，完善经营者激励和约束制度。</w:t>
            </w:r>
          </w:p>
          <w:p w14:paraId="6BDCBD8F">
            <w:pPr>
              <w:pStyle w:val="2"/>
              <w:keepNext w:val="0"/>
              <w:keepLines w:val="0"/>
              <w:widowControl/>
              <w:suppressLineNumbers w:val="0"/>
              <w:wordWrap w:val="0"/>
              <w:spacing w:before="0" w:beforeAutospacing="0" w:after="0" w:afterAutospacing="0" w:line="444" w:lineRule="atLeast"/>
              <w:ind w:left="0" w:right="0" w:firstLine="456"/>
              <w:rPr>
                <w:sz w:val="22"/>
                <w:szCs w:val="22"/>
              </w:rPr>
            </w:pPr>
            <w:r>
              <w:rPr>
                <w:rFonts w:hint="eastAsia" w:ascii="仿宋_GB2312" w:hAnsi="sans-serif" w:eastAsia="仿宋_GB2312" w:cs="仿宋_GB2312"/>
                <w:sz w:val="22"/>
                <w:szCs w:val="22"/>
              </w:rPr>
              <w:t>（七）负责企业国有资产基础管理，起草国有资产管理的规范性文件，制订有关制度，依法对国有资产进行监督。</w:t>
            </w:r>
          </w:p>
          <w:p w14:paraId="6F43BFE9">
            <w:pPr>
              <w:pStyle w:val="2"/>
              <w:keepNext w:val="0"/>
              <w:keepLines w:val="0"/>
              <w:widowControl/>
              <w:suppressLineNumbers w:val="0"/>
              <w:wordWrap w:val="0"/>
              <w:spacing w:before="0" w:beforeAutospacing="0" w:after="0" w:afterAutospacing="0" w:line="444" w:lineRule="atLeast"/>
              <w:ind w:left="0" w:right="0" w:firstLine="456"/>
              <w:rPr>
                <w:sz w:val="22"/>
                <w:szCs w:val="22"/>
              </w:rPr>
            </w:pPr>
            <w:r>
              <w:rPr>
                <w:rFonts w:hint="eastAsia" w:ascii="仿宋_GB2312" w:hAnsi="sans-serif" w:eastAsia="仿宋_GB2312" w:cs="仿宋_GB2312"/>
                <w:sz w:val="22"/>
                <w:szCs w:val="22"/>
              </w:rPr>
              <w:t>（八）办理和监督本机财政预算支出。监督执行有关资金（基金）财务管理制度，监督各项财政资金的分配和使用。</w:t>
            </w:r>
          </w:p>
          <w:p w14:paraId="12D0E801">
            <w:pPr>
              <w:pStyle w:val="2"/>
              <w:keepNext w:val="0"/>
              <w:keepLines w:val="0"/>
              <w:widowControl/>
              <w:suppressLineNumbers w:val="0"/>
              <w:wordWrap w:val="0"/>
              <w:spacing w:before="0" w:beforeAutospacing="0" w:after="0" w:afterAutospacing="0" w:line="444" w:lineRule="atLeast"/>
              <w:ind w:left="0" w:right="0" w:firstLine="456"/>
              <w:jc w:val="both"/>
              <w:rPr>
                <w:sz w:val="22"/>
                <w:szCs w:val="22"/>
              </w:rPr>
            </w:pPr>
            <w:r>
              <w:rPr>
                <w:rFonts w:hint="eastAsia" w:ascii="仿宋_GB2312" w:hAnsi="sans-serif" w:eastAsia="仿宋_GB2312" w:cs="仿宋_GB2312"/>
                <w:sz w:val="22"/>
                <w:szCs w:val="22"/>
              </w:rPr>
              <w:t>（九）执行债务管理制度和政策，编制地方债务化解计划，负责政府性债务风险管控、规模控制、预算管理；着力防控隐性债务风险，牢牢守住不发生系统性风险的底线。</w:t>
            </w:r>
          </w:p>
          <w:p w14:paraId="71A0F548">
            <w:pPr>
              <w:pStyle w:val="2"/>
              <w:keepNext w:val="0"/>
              <w:keepLines w:val="0"/>
              <w:widowControl/>
              <w:suppressLineNumbers w:val="0"/>
              <w:wordWrap w:val="0"/>
              <w:spacing w:before="0" w:beforeAutospacing="0" w:after="0" w:afterAutospacing="0" w:line="444" w:lineRule="atLeast"/>
              <w:ind w:left="0" w:right="0" w:firstLine="456"/>
              <w:rPr>
                <w:sz w:val="22"/>
                <w:szCs w:val="22"/>
              </w:rPr>
            </w:pPr>
            <w:r>
              <w:rPr>
                <w:rFonts w:hint="eastAsia" w:ascii="仿宋_GB2312" w:hAnsi="sans-serif" w:eastAsia="仿宋_GB2312" w:cs="仿宋_GB2312"/>
                <w:sz w:val="22"/>
                <w:szCs w:val="22"/>
              </w:rPr>
              <w:t>（十）负责组织执行国家统一的会计制度，监督和规范会计行为。负责辖区会计人才工作，组织本区会计从业人员学习培训。</w:t>
            </w:r>
          </w:p>
          <w:p w14:paraId="407F83BE">
            <w:pPr>
              <w:pStyle w:val="2"/>
              <w:keepNext w:val="0"/>
              <w:keepLines w:val="0"/>
              <w:widowControl/>
              <w:suppressLineNumbers w:val="0"/>
              <w:wordWrap w:val="0"/>
              <w:spacing w:before="0" w:beforeAutospacing="0" w:after="0" w:afterAutospacing="0" w:line="444" w:lineRule="atLeast"/>
              <w:ind w:left="0" w:right="0" w:firstLine="456"/>
              <w:rPr>
                <w:sz w:val="22"/>
                <w:szCs w:val="22"/>
              </w:rPr>
            </w:pPr>
            <w:r>
              <w:rPr>
                <w:rFonts w:hint="eastAsia" w:ascii="仿宋_GB2312" w:hAnsi="sans-serif" w:eastAsia="仿宋_GB2312" w:cs="仿宋_GB2312"/>
                <w:sz w:val="22"/>
                <w:szCs w:val="22"/>
              </w:rPr>
              <w:t>（十一）承担区政府采购管理工作，负责制定政府采购制度，推动政府采购改革工作，监督规范政府采购行为，优化营商环境。</w:t>
            </w:r>
          </w:p>
          <w:p w14:paraId="27368A9F">
            <w:pPr>
              <w:pStyle w:val="2"/>
              <w:keepNext w:val="0"/>
              <w:keepLines w:val="0"/>
              <w:widowControl/>
              <w:suppressLineNumbers w:val="0"/>
              <w:wordWrap w:val="0"/>
              <w:spacing w:before="0" w:beforeAutospacing="0" w:after="0" w:afterAutospacing="0" w:line="444" w:lineRule="atLeast"/>
              <w:ind w:left="0" w:right="0" w:firstLine="456"/>
              <w:rPr>
                <w:sz w:val="22"/>
                <w:szCs w:val="22"/>
              </w:rPr>
            </w:pPr>
            <w:r>
              <w:rPr>
                <w:rFonts w:hint="eastAsia" w:ascii="仿宋_GB2312" w:hAnsi="sans-serif" w:eastAsia="仿宋_GB2312" w:cs="仿宋_GB2312"/>
                <w:sz w:val="22"/>
                <w:szCs w:val="22"/>
              </w:rPr>
              <w:t>（十二）监督财政运行等情况，开展财会监督工作，反映财经领域重大问题，提出加强财政管理的政策建议。</w:t>
            </w:r>
          </w:p>
          <w:p w14:paraId="26F5BD30">
            <w:pPr>
              <w:pStyle w:val="2"/>
              <w:keepNext w:val="0"/>
              <w:keepLines w:val="0"/>
              <w:widowControl/>
              <w:suppressLineNumbers w:val="0"/>
              <w:wordWrap w:val="0"/>
              <w:spacing w:before="0" w:beforeAutospacing="0" w:after="0" w:afterAutospacing="0" w:line="444" w:lineRule="atLeast"/>
              <w:ind w:left="0" w:right="0" w:firstLine="456"/>
              <w:rPr>
                <w:sz w:val="22"/>
                <w:szCs w:val="22"/>
              </w:rPr>
            </w:pPr>
            <w:r>
              <w:rPr>
                <w:rFonts w:hint="eastAsia" w:ascii="仿宋_GB2312" w:hAnsi="sans-serif" w:eastAsia="仿宋_GB2312" w:cs="仿宋_GB2312"/>
                <w:sz w:val="22"/>
                <w:szCs w:val="22"/>
              </w:rPr>
              <w:t>（十三）会同有关部门拟定有关资金（基金）财务管理制度。</w:t>
            </w:r>
          </w:p>
          <w:p w14:paraId="6E43BD67">
            <w:pPr>
              <w:pStyle w:val="2"/>
              <w:keepNext w:val="0"/>
              <w:keepLines w:val="0"/>
              <w:widowControl/>
              <w:suppressLineNumbers w:val="0"/>
              <w:wordWrap w:val="0"/>
              <w:spacing w:before="0" w:beforeAutospacing="0" w:after="0" w:afterAutospacing="0" w:line="444" w:lineRule="atLeast"/>
              <w:ind w:left="0" w:right="0" w:firstLine="456"/>
              <w:rPr>
                <w:sz w:val="22"/>
                <w:szCs w:val="22"/>
              </w:rPr>
            </w:pPr>
            <w:r>
              <w:rPr>
                <w:rFonts w:hint="eastAsia" w:ascii="仿宋_GB2312" w:hAnsi="sans-serif" w:eastAsia="仿宋_GB2312" w:cs="仿宋_GB2312"/>
                <w:sz w:val="22"/>
                <w:szCs w:val="22"/>
              </w:rPr>
              <w:t>（十四）贯彻落实国家有关金融工作方针政策和法律法规，落实自治区、银川市、辖区关于金融方面的工作部署，配合自治区和银川市金融管理部门做好打击非法金融活动和金融风险的防范化解工作；协调有关部门做好防范和处置非法集资工作；履行地方国有金融资本出资人职责，配合做好政府和社会资本合作新机制相关工作。</w:t>
            </w:r>
          </w:p>
          <w:p w14:paraId="1125F836">
            <w:pPr>
              <w:pStyle w:val="2"/>
              <w:keepNext w:val="0"/>
              <w:keepLines w:val="0"/>
              <w:widowControl/>
              <w:suppressLineNumbers w:val="0"/>
              <w:wordWrap w:val="0"/>
              <w:spacing w:before="0" w:beforeAutospacing="0" w:after="0" w:afterAutospacing="0" w:line="444" w:lineRule="atLeast"/>
              <w:ind w:left="0" w:right="0" w:firstLine="456"/>
              <w:rPr>
                <w:sz w:val="22"/>
                <w:szCs w:val="22"/>
              </w:rPr>
            </w:pPr>
            <w:r>
              <w:rPr>
                <w:rFonts w:hint="eastAsia" w:ascii="仿宋_GB2312" w:hAnsi="sans-serif" w:eastAsia="仿宋_GB2312" w:cs="仿宋_GB2312"/>
                <w:sz w:val="22"/>
                <w:szCs w:val="22"/>
              </w:rPr>
              <w:t>（十五）强化对纳入相对集中行政许可权改革范围的行政审批事项的事中事后监管，强化行政执法、法制审核职责，具体负责财政领域执法工作。​</w:t>
            </w:r>
          </w:p>
          <w:p w14:paraId="238B7F82">
            <w:pPr>
              <w:pStyle w:val="2"/>
              <w:keepNext w:val="0"/>
              <w:keepLines w:val="0"/>
              <w:widowControl/>
              <w:suppressLineNumbers w:val="0"/>
              <w:wordWrap w:val="0"/>
              <w:spacing w:before="0" w:beforeAutospacing="0" w:after="0" w:afterAutospacing="0" w:line="444" w:lineRule="atLeast"/>
              <w:ind w:left="0" w:right="0" w:firstLine="456"/>
              <w:jc w:val="both"/>
              <w:rPr>
                <w:sz w:val="22"/>
                <w:szCs w:val="22"/>
              </w:rPr>
            </w:pPr>
            <w:r>
              <w:rPr>
                <w:rFonts w:hint="eastAsia" w:ascii="仿宋_GB2312" w:hAnsi="sans-serif" w:eastAsia="仿宋_GB2312" w:cs="仿宋_GB2312"/>
                <w:sz w:val="22"/>
                <w:szCs w:val="22"/>
              </w:rPr>
              <w:t>（十六）贯彻落实中央统筹发展和安全、推进生态文明建设部署及自治区党委、银川市委、区委要求，落实安全生产、生态环境保护相关职责。</w:t>
            </w:r>
          </w:p>
          <w:p w14:paraId="7A911C6C">
            <w:pPr>
              <w:pStyle w:val="2"/>
              <w:keepNext w:val="0"/>
              <w:keepLines w:val="0"/>
              <w:widowControl/>
              <w:suppressLineNumbers w:val="0"/>
              <w:wordWrap w:val="0"/>
              <w:spacing w:before="0" w:beforeAutospacing="0" w:after="0" w:afterAutospacing="0" w:line="444" w:lineRule="atLeast"/>
              <w:ind w:left="0" w:right="0" w:firstLine="456"/>
              <w:rPr>
                <w:rFonts w:hint="eastAsia" w:ascii="仿宋" w:hAnsi="仿宋" w:eastAsia="仿宋" w:cs="仿宋"/>
                <w:b/>
                <w:bCs/>
                <w:sz w:val="24"/>
                <w:szCs w:val="24"/>
                <w:lang w:val="en-US" w:eastAsia="zh-CN"/>
              </w:rPr>
            </w:pPr>
            <w:r>
              <w:rPr>
                <w:rFonts w:hint="eastAsia" w:ascii="仿宋_GB2312" w:hAnsi="sans-serif" w:eastAsia="仿宋_GB2312" w:cs="仿宋_GB2312"/>
                <w:sz w:val="22"/>
                <w:szCs w:val="22"/>
              </w:rPr>
              <w:t>（十七）完成区委和区政府交办的其他任务。</w:t>
            </w:r>
          </w:p>
        </w:tc>
      </w:tr>
    </w:tbl>
    <w:p w14:paraId="0E95BB3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MDg4Y2I3OTJiNjYyZmI0ZmNhMzQ0NDhkZTRiMTIifQ=="/>
  </w:docVars>
  <w:rsids>
    <w:rsidRoot w:val="00000000"/>
    <w:rsid w:val="03B67C81"/>
    <w:rsid w:val="03FC4FE0"/>
    <w:rsid w:val="2A9E52F6"/>
    <w:rsid w:val="2CDC56AC"/>
    <w:rsid w:val="2FD14514"/>
    <w:rsid w:val="44D908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line="315" w:lineRule="atLeast"/>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1224</Words>
  <Characters>1275</Characters>
  <Lines>0</Lines>
  <Paragraphs>0</Paragraphs>
  <TotalTime>1</TotalTime>
  <ScaleCrop>false</ScaleCrop>
  <LinksUpToDate>false</LinksUpToDate>
  <CharactersWithSpaces>1286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金凤区财政局收文员</cp:lastModifiedBy>
  <cp:lastPrinted>2020-12-01T01:29:00Z</cp:lastPrinted>
  <dcterms:modified xsi:type="dcterms:W3CDTF">2024-09-09T08:12:39Z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FF3291654CCB43DEB1F94EE945B61889_13</vt:lpwstr>
  </property>
</Properties>
</file>