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sans-serif" w:hAnsi="sans-serif" w:cs="sans-serif"/>
          <w:color w:val="000000"/>
          <w:szCs w:val="21"/>
        </w:rPr>
      </w:pPr>
      <w:bookmarkStart w:id="0" w:name="E10"/>
      <w:r>
        <w:rPr>
          <w:rFonts w:hint="eastAsia" w:ascii="黑体" w:hAnsi="sans-serif" w:eastAsia="黑体" w:cs="黑体"/>
          <w:color w:val="000000"/>
          <w:kern w:val="0"/>
          <w:sz w:val="24"/>
        </w:rPr>
        <w:t>银川市金凤区发展和改革局</w:t>
      </w:r>
      <w:r>
        <w:rPr>
          <w:rFonts w:ascii="黑体" w:hAnsi="sans-serif" w:eastAsia="黑体" w:cs="黑体"/>
          <w:color w:val="000000"/>
          <w:kern w:val="0"/>
          <w:sz w:val="24"/>
        </w:rPr>
        <w:t>2</w:t>
      </w:r>
      <w:bookmarkEnd w:id="0"/>
      <w:r>
        <w:rPr>
          <w:rFonts w:hint="eastAsia" w:ascii="黑体" w:hAnsi="sans-serif" w:eastAsia="黑体" w:cs="黑体"/>
          <w:color w:val="000000"/>
          <w:kern w:val="0"/>
          <w:sz w:val="24"/>
        </w:rPr>
        <w:t>02</w:t>
      </w:r>
      <w:r>
        <w:rPr>
          <w:rFonts w:hint="eastAsia" w:ascii="黑体" w:hAnsi="sans-serif" w:eastAsia="黑体" w:cs="黑体"/>
          <w:color w:val="000000"/>
          <w:kern w:val="0"/>
          <w:sz w:val="24"/>
          <w:lang w:val="en-US" w:eastAsia="zh-CN"/>
        </w:rPr>
        <w:t>2</w:t>
      </w:r>
      <w:bookmarkStart w:id="1" w:name="_GoBack"/>
      <w:bookmarkEnd w:id="1"/>
      <w:r>
        <w:rPr>
          <w:rFonts w:hint="eastAsia" w:ascii="黑体" w:hAnsi="sans-serif" w:eastAsia="黑体" w:cs="黑体"/>
          <w:color w:val="000000"/>
          <w:kern w:val="0"/>
          <w:sz w:val="24"/>
        </w:rPr>
        <w:t>年度部门决算报表填报说明</w:t>
      </w:r>
    </w:p>
    <w:p>
      <w:pPr>
        <w:widowControl/>
        <w:jc w:val="center"/>
        <w:rPr>
          <w:rFonts w:hint="eastAsia" w:ascii="sans-serif" w:hAnsi="sans-serif" w:cs="sans-serif"/>
          <w:color w:val="000000"/>
          <w:szCs w:val="21"/>
        </w:rPr>
      </w:pPr>
    </w:p>
    <w:p>
      <w:pPr>
        <w:widowControl/>
        <w:rPr>
          <w:rFonts w:hint="eastAsia" w:ascii="sans-serif" w:hAnsi="sans-serif" w:cs="sans-serif"/>
          <w:color w:val="000000"/>
          <w:szCs w:val="21"/>
        </w:rPr>
      </w:pPr>
      <w:r>
        <w:rPr>
          <w:rFonts w:ascii="sans-serif" w:hAnsi="sans-serif" w:cs="sans-serif"/>
          <w:color w:val="000000"/>
          <w:kern w:val="0"/>
          <w:sz w:val="24"/>
        </w:rPr>
        <w:t> </w:t>
      </w:r>
    </w:p>
    <w:p>
      <w:pPr>
        <w:widowControl/>
        <w:ind w:firstLine="480"/>
        <w:rPr>
          <w:rFonts w:hint="eastAsia" w:ascii="sans-serif" w:hAnsi="sans-serif" w:cs="sans-serif"/>
          <w:color w:val="000000"/>
          <w:szCs w:val="21"/>
        </w:rPr>
      </w:pPr>
      <w:r>
        <w:rPr>
          <w:rFonts w:hint="eastAsia" w:ascii="黑体" w:hAnsi="sans-serif" w:eastAsia="黑体" w:cs="黑体"/>
          <w:color w:val="000000"/>
          <w:kern w:val="0"/>
          <w:sz w:val="24"/>
        </w:rPr>
        <w:t>一、决算信息来源说明</w:t>
      </w:r>
    </w:p>
    <w:p>
      <w:pPr>
        <w:widowControl/>
        <w:ind w:firstLine="480"/>
        <w:rPr>
          <w:rFonts w:hint="eastAsia" w:ascii="sans-serif" w:hAnsi="sans-serif" w:cs="sans-serif"/>
          <w:color w:val="000000"/>
          <w:szCs w:val="21"/>
        </w:rPr>
      </w:pPr>
      <w:r>
        <w:rPr>
          <w:rFonts w:ascii="仿宋_GB2312" w:hAnsi="sans-serif" w:eastAsia="仿宋_GB2312" w:cs="仿宋_GB2312"/>
          <w:color w:val="000000"/>
          <w:kern w:val="0"/>
          <w:sz w:val="24"/>
        </w:rPr>
        <w:t>本套决算依据本单位登记完整、核对无误的账簿记录和其他有关会计核算资料编制，账证相符、账实相符、账表相符、表表相符，真实、准确、完整地反映了本单位预算执行结果和财务状况。</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（一）本套决算主表数据主要依据本单位会计账簿总账及明细账数据填列，预算数据依据本单位预、决算批复文件及预算调整文件填列。</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（二）本套决算附表数据主要依据本单位会计账簿、资产、人事台账及相关资料填列。</w:t>
      </w:r>
    </w:p>
    <w:p>
      <w:pPr>
        <w:widowControl/>
        <w:ind w:firstLine="480"/>
        <w:rPr>
          <w:rFonts w:hint="eastAsia" w:ascii="sans-serif" w:hAnsi="sans-serif" w:cs="sans-serif"/>
          <w:color w:val="000000"/>
          <w:szCs w:val="21"/>
        </w:rPr>
      </w:pPr>
      <w:r>
        <w:rPr>
          <w:rFonts w:ascii="楷体_GB2312" w:hAnsi="sans-serif" w:eastAsia="楷体_GB2312" w:cs="楷体_GB2312"/>
          <w:color w:val="000000"/>
          <w:kern w:val="0"/>
          <w:sz w:val="24"/>
        </w:rPr>
        <w:t> </w:t>
      </w:r>
    </w:p>
    <w:p>
      <w:pPr>
        <w:widowControl/>
        <w:ind w:firstLine="480"/>
        <w:rPr>
          <w:rFonts w:hint="eastAsia" w:ascii="sans-serif" w:hAnsi="sans-serif" w:cs="sans-serif"/>
          <w:color w:val="000000"/>
          <w:szCs w:val="21"/>
        </w:rPr>
      </w:pPr>
      <w:r>
        <w:rPr>
          <w:rFonts w:hint="eastAsia" w:ascii="黑体" w:hAnsi="sans-serif" w:eastAsia="黑体" w:cs="黑体"/>
          <w:color w:val="000000"/>
          <w:kern w:val="0"/>
          <w:sz w:val="24"/>
        </w:rPr>
        <w:t>二、决算编制基本情况</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本单位为</w:t>
      </w:r>
      <w:r>
        <w:rPr>
          <w:rFonts w:hint="eastAsia" w:ascii="仿宋_GB2312" w:hAnsi="sans-serif" w:eastAsia="仿宋_GB2312" w:cs="仿宋_GB2312"/>
          <w:color w:val="000000"/>
          <w:kern w:val="0"/>
          <w:sz w:val="24"/>
          <w:u w:val="single"/>
        </w:rPr>
        <w:t> 一 </w:t>
      </w:r>
      <w:r>
        <w:rPr>
          <w:rFonts w:hint="eastAsia" w:ascii="仿宋_GB2312" w:hAnsi="sans-serif" w:eastAsia="仿宋_GB2312" w:cs="仿宋_GB2312"/>
          <w:color w:val="000000"/>
          <w:kern w:val="0"/>
          <w:sz w:val="24"/>
        </w:rPr>
        <w:t>级预算单位，单位性质为</w:t>
      </w:r>
      <w:r>
        <w:rPr>
          <w:rFonts w:hint="eastAsia" w:ascii="仿宋_GB2312" w:hAnsi="sans-serif" w:eastAsia="仿宋_GB2312" w:cs="仿宋_GB2312"/>
          <w:color w:val="000000"/>
          <w:kern w:val="0"/>
          <w:sz w:val="24"/>
          <w:u w:val="single"/>
        </w:rPr>
        <w:t>行政</w:t>
      </w:r>
      <w:r>
        <w:rPr>
          <w:rFonts w:hint="eastAsia" w:ascii="仿宋_GB2312" w:hAnsi="sans-serif" w:eastAsia="仿宋_GB2312" w:cs="仿宋_GB2312"/>
          <w:color w:val="000000"/>
          <w:kern w:val="0"/>
          <w:sz w:val="24"/>
        </w:rPr>
        <w:t>单位，决算编报类型为</w:t>
      </w:r>
      <w:r>
        <w:rPr>
          <w:rFonts w:hint="eastAsia" w:ascii="仿宋_GB2312" w:hAnsi="sans-serif" w:eastAsia="仿宋_GB2312" w:cs="仿宋_GB2312"/>
          <w:color w:val="000000"/>
          <w:kern w:val="0"/>
          <w:sz w:val="24"/>
          <w:u w:val="single"/>
        </w:rPr>
        <w:t> 单户表 </w:t>
      </w:r>
      <w:r>
        <w:rPr>
          <w:rFonts w:hint="eastAsia" w:ascii="仿宋_GB2312" w:hAnsi="sans-serif" w:eastAsia="仿宋_GB2312" w:cs="仿宋_GB2312"/>
          <w:color w:val="000000"/>
          <w:kern w:val="0"/>
          <w:sz w:val="24"/>
        </w:rPr>
        <w:t>，按照</w:t>
      </w:r>
      <w:r>
        <w:rPr>
          <w:rFonts w:hint="eastAsia" w:ascii="仿宋_GB2312" w:hAnsi="sans-serif" w:eastAsia="仿宋_GB2312" w:cs="仿宋_GB2312"/>
          <w:color w:val="000000"/>
          <w:kern w:val="0"/>
          <w:sz w:val="24"/>
          <w:u w:val="single"/>
        </w:rPr>
        <w:t>行政单位</w:t>
      </w:r>
      <w:r>
        <w:rPr>
          <w:rFonts w:hint="eastAsia" w:ascii="仿宋_GB2312" w:hAnsi="sans-serif" w:eastAsia="仿宋_GB2312" w:cs="仿宋_GB2312"/>
          <w:color w:val="000000"/>
          <w:kern w:val="0"/>
          <w:sz w:val="24"/>
        </w:rPr>
        <w:t>会计制度填报决算数据。</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纳入本套决算编制范围的独立核算单位共</w:t>
      </w:r>
      <w:r>
        <w:rPr>
          <w:rFonts w:hint="eastAsia" w:ascii="仿宋_GB2312" w:hAnsi="sans-serif" w:eastAsia="仿宋_GB2312" w:cs="仿宋_GB2312"/>
          <w:color w:val="000000"/>
          <w:kern w:val="0"/>
          <w:sz w:val="24"/>
          <w:u w:val="single"/>
        </w:rPr>
        <w:t> 1 </w:t>
      </w:r>
      <w:r>
        <w:rPr>
          <w:rFonts w:hint="eastAsia" w:ascii="仿宋_GB2312" w:hAnsi="sans-serif" w:eastAsia="仿宋_GB2312" w:cs="仿宋_GB2312"/>
          <w:color w:val="000000"/>
          <w:kern w:val="0"/>
          <w:sz w:val="24"/>
        </w:rPr>
        <w:t>个，比上年保持一致。</w:t>
      </w:r>
      <w:r>
        <w:rPr>
          <w:rFonts w:hint="eastAsia" w:ascii="楷体_GB2312" w:hAnsi="sans-serif" w:eastAsia="楷体_GB2312" w:cs="楷体_GB2312"/>
          <w:color w:val="000000"/>
          <w:kern w:val="0"/>
          <w:sz w:val="24"/>
        </w:rPr>
        <w:t> </w:t>
      </w:r>
    </w:p>
    <w:p>
      <w:pPr>
        <w:widowControl/>
        <w:ind w:firstLine="480"/>
        <w:rPr>
          <w:rFonts w:hint="eastAsia" w:ascii="sans-serif" w:hAnsi="sans-serif" w:cs="sans-serif"/>
          <w:color w:val="000000"/>
          <w:szCs w:val="21"/>
        </w:rPr>
      </w:pPr>
      <w:r>
        <w:rPr>
          <w:rFonts w:hint="eastAsia" w:ascii="黑体" w:hAnsi="sans-serif" w:eastAsia="黑体" w:cs="黑体"/>
          <w:color w:val="000000"/>
          <w:kern w:val="0"/>
          <w:sz w:val="24"/>
        </w:rPr>
        <w:t>三、基础数据核对情况</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（一）财政资金对账情况。</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1．财政拨款核对情况。</w:t>
      </w:r>
    </w:p>
    <w:p>
      <w:pPr>
        <w:widowControl/>
        <w:ind w:firstLine="480"/>
        <w:rPr>
          <w:rFonts w:hint="eastAsia" w:ascii="sans-serif" w:hAnsi="sans-serif" w:cs="sans-serif"/>
          <w:color w:val="auto"/>
          <w:szCs w:val="21"/>
        </w:rPr>
      </w:pPr>
      <w:r>
        <w:rPr>
          <w:rFonts w:hint="eastAsia" w:ascii="仿宋_GB2312" w:hAnsi="sans-serif" w:eastAsia="仿宋_GB2312" w:cs="仿宋_GB2312"/>
          <w:color w:val="auto"/>
          <w:kern w:val="0"/>
          <w:sz w:val="24"/>
        </w:rPr>
        <w:t>（1）单位本年度实际收到的一般公共预算财政拨款收入</w:t>
      </w:r>
      <w:r>
        <w:rPr>
          <w:rFonts w:hint="eastAsia" w:ascii="仿宋_GB2312" w:hAnsi="sans-serif" w:eastAsia="仿宋_GB2312" w:cs="仿宋_GB2312"/>
          <w:color w:val="auto"/>
          <w:kern w:val="0"/>
          <w:sz w:val="24"/>
          <w:u w:val="single"/>
          <w:lang w:val="en-US" w:eastAsia="zh-CN"/>
        </w:rPr>
        <w:t>1211.99</w:t>
      </w:r>
      <w:r>
        <w:rPr>
          <w:rFonts w:hint="eastAsia" w:ascii="仿宋_GB2312" w:hAnsi="sans-serif" w:eastAsia="仿宋_GB2312" w:cs="仿宋_GB2312"/>
          <w:color w:val="auto"/>
          <w:kern w:val="0"/>
          <w:sz w:val="24"/>
        </w:rPr>
        <w:t>万元，财政部门拨款对账单</w:t>
      </w:r>
      <w:r>
        <w:rPr>
          <w:rFonts w:hint="eastAsia" w:ascii="仿宋_GB2312" w:hAnsi="sans-serif" w:eastAsia="仿宋_GB2312" w:cs="仿宋_GB2312"/>
          <w:color w:val="auto"/>
          <w:kern w:val="0"/>
          <w:sz w:val="24"/>
          <w:u w:val="single"/>
          <w:lang w:val="en-US" w:eastAsia="zh-CN"/>
        </w:rPr>
        <w:t>1211.99</w:t>
      </w:r>
      <w:r>
        <w:rPr>
          <w:rFonts w:hint="eastAsia" w:ascii="仿宋_GB2312" w:hAnsi="sans-serif" w:eastAsia="仿宋_GB2312" w:cs="仿宋_GB2312"/>
          <w:color w:val="auto"/>
          <w:kern w:val="0"/>
          <w:sz w:val="24"/>
        </w:rPr>
        <w:t>万元，差额</w:t>
      </w:r>
      <w:r>
        <w:rPr>
          <w:rFonts w:hint="eastAsia" w:ascii="仿宋_GB2312" w:hAnsi="sans-serif" w:eastAsia="仿宋_GB2312" w:cs="仿宋_GB2312"/>
          <w:color w:val="auto"/>
          <w:kern w:val="0"/>
          <w:sz w:val="24"/>
          <w:u w:val="single"/>
        </w:rPr>
        <w:t>  0 </w:t>
      </w:r>
      <w:r>
        <w:rPr>
          <w:rFonts w:hint="eastAsia" w:ascii="仿宋_GB2312" w:hAnsi="sans-serif" w:eastAsia="仿宋_GB2312" w:cs="仿宋_GB2312"/>
          <w:color w:val="auto"/>
          <w:kern w:val="0"/>
          <w:sz w:val="24"/>
        </w:rPr>
        <w:t>万元。</w:t>
      </w:r>
    </w:p>
    <w:p>
      <w:pPr>
        <w:widowControl/>
        <w:ind w:firstLine="480"/>
        <w:rPr>
          <w:rFonts w:hint="eastAsia" w:ascii="sans-serif" w:hAnsi="sans-serif" w:cs="sans-serif"/>
          <w:color w:val="auto"/>
          <w:szCs w:val="21"/>
        </w:rPr>
      </w:pPr>
      <w:r>
        <w:rPr>
          <w:rFonts w:hint="eastAsia" w:ascii="仿宋_GB2312" w:hAnsi="sans-serif" w:eastAsia="仿宋_GB2312" w:cs="仿宋_GB2312"/>
          <w:color w:val="auto"/>
          <w:kern w:val="0"/>
          <w:sz w:val="24"/>
        </w:rPr>
        <w:t>（2）单位本年度政府性基金预算财政拨款收入</w:t>
      </w:r>
      <w:r>
        <w:rPr>
          <w:rFonts w:hint="eastAsia" w:ascii="仿宋_GB2312" w:hAnsi="sans-serif" w:eastAsia="仿宋_GB2312" w:cs="仿宋_GB2312"/>
          <w:color w:val="auto"/>
          <w:kern w:val="0"/>
          <w:sz w:val="24"/>
          <w:u w:val="single"/>
        </w:rPr>
        <w:t> 0 </w:t>
      </w:r>
      <w:r>
        <w:rPr>
          <w:rFonts w:hint="eastAsia" w:ascii="仿宋_GB2312" w:hAnsi="sans-serif" w:eastAsia="仿宋_GB2312" w:cs="仿宋_GB2312"/>
          <w:color w:val="auto"/>
          <w:kern w:val="0"/>
          <w:sz w:val="24"/>
        </w:rPr>
        <w:t>万元，财政部门拨款对账单</w:t>
      </w:r>
      <w:r>
        <w:rPr>
          <w:rFonts w:hint="eastAsia" w:ascii="仿宋_GB2312" w:hAnsi="sans-serif" w:eastAsia="仿宋_GB2312" w:cs="仿宋_GB2312"/>
          <w:color w:val="auto"/>
          <w:kern w:val="0"/>
          <w:sz w:val="24"/>
          <w:u w:val="single"/>
        </w:rPr>
        <w:t> 0 </w:t>
      </w:r>
      <w:r>
        <w:rPr>
          <w:rFonts w:hint="eastAsia" w:ascii="仿宋_GB2312" w:hAnsi="sans-serif" w:eastAsia="仿宋_GB2312" w:cs="仿宋_GB2312"/>
          <w:color w:val="auto"/>
          <w:kern w:val="0"/>
          <w:sz w:val="24"/>
        </w:rPr>
        <w:t>万元，差额</w:t>
      </w:r>
      <w:r>
        <w:rPr>
          <w:rFonts w:hint="eastAsia" w:ascii="仿宋_GB2312" w:hAnsi="sans-serif" w:eastAsia="仿宋_GB2312" w:cs="仿宋_GB2312"/>
          <w:color w:val="auto"/>
          <w:kern w:val="0"/>
          <w:sz w:val="24"/>
          <w:u w:val="single"/>
        </w:rPr>
        <w:t> 0 </w:t>
      </w:r>
      <w:r>
        <w:rPr>
          <w:rFonts w:hint="eastAsia" w:ascii="仿宋_GB2312" w:hAnsi="sans-serif" w:eastAsia="仿宋_GB2312" w:cs="仿宋_GB2312"/>
          <w:color w:val="auto"/>
          <w:kern w:val="0"/>
          <w:sz w:val="24"/>
        </w:rPr>
        <w:t>万元。</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（二）与上年指标核对情况。</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1．全口径、一般公共预算财政拨款和政府性基金预算财政拨款的结转和结余资金本年年初数与上年年末数不一致的情况说明，包括会计差错更正、收回以前年度支出、归集调入、归集调出、归集上缴和缴回资金及单位内部调剂等情况（附表1）。因新旧会计制度转换，按照法定会计政策变更追溯调整形成的差异，在“其他”栏目填列并在备注予以说明。</w:t>
      </w:r>
    </w:p>
    <w:p>
      <w:pPr>
        <w:widowControl/>
        <w:ind w:firstLine="480"/>
        <w:rPr>
          <w:rFonts w:hint="eastAsia" w:ascii="仿宋_GB2312" w:hAnsi="sans-serif" w:eastAsia="仿宋_GB2312" w:cs="仿宋_GB2312"/>
          <w:color w:val="000000"/>
          <w:kern w:val="0"/>
          <w:sz w:val="24"/>
        </w:rPr>
      </w:pPr>
      <w:r>
        <w:rPr>
          <w:rFonts w:hint="eastAsia" w:ascii="仿宋_GB2312" w:hAnsi="sans-serif" w:eastAsia="仿宋_GB2312" w:cs="仿宋_GB2312"/>
          <w:color w:val="000000"/>
          <w:kern w:val="0"/>
          <w:sz w:val="24"/>
        </w:rPr>
        <w:t>2．主要指标上下年变动幅度超过20%，其中机构人员指标上下年有变动的，应具体核实并说明原因（附表2）。</w:t>
      </w:r>
    </w:p>
    <w:tbl>
      <w:tblPr>
        <w:tblStyle w:val="5"/>
        <w:tblpPr w:leftFromText="180" w:rightFromText="180" w:vertAnchor="text" w:horzAnchor="page" w:tblpX="1454" w:tblpY="322"/>
        <w:tblOverlap w:val="never"/>
        <w:tblW w:w="9930" w:type="dxa"/>
        <w:tblInd w:w="0" w:type="dxa"/>
        <w:shd w:val="clear" w:color="auto" w:fill="auto"/>
        <w:tblLayout w:type="fixed"/>
        <w:tblCellMar>
          <w:top w:w="0" w:type="dxa"/>
          <w:left w:w="0" w:type="dxa"/>
          <w:bottom w:w="0" w:type="dxa"/>
          <w:right w:w="0" w:type="dxa"/>
        </w:tblCellMar>
      </w:tblPr>
      <w:tblGrid>
        <w:gridCol w:w="3030"/>
        <w:gridCol w:w="525"/>
        <w:gridCol w:w="1275"/>
        <w:gridCol w:w="1320"/>
        <w:gridCol w:w="1200"/>
        <w:gridCol w:w="885"/>
        <w:gridCol w:w="1695"/>
      </w:tblGrid>
      <w:tr>
        <w:tblPrEx>
          <w:tblCellMar>
            <w:top w:w="0" w:type="dxa"/>
            <w:left w:w="0" w:type="dxa"/>
            <w:bottom w:w="0" w:type="dxa"/>
            <w:right w:w="0" w:type="dxa"/>
          </w:tblCellMar>
        </w:tblPrEx>
        <w:trPr>
          <w:trHeight w:val="255" w:hRule="atLeast"/>
        </w:trPr>
        <w:tc>
          <w:tcPr>
            <w:tcW w:w="993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主要指标变动情况表</w:t>
            </w:r>
          </w:p>
        </w:tc>
      </w:tr>
      <w:tr>
        <w:tblPrEx>
          <w:shd w:val="clear" w:color="auto" w:fill="auto"/>
          <w:tblCellMar>
            <w:top w:w="0" w:type="dxa"/>
            <w:left w:w="0" w:type="dxa"/>
            <w:bottom w:w="0" w:type="dxa"/>
            <w:right w:w="0" w:type="dxa"/>
          </w:tblCellMar>
        </w:tblPrEx>
        <w:trPr>
          <w:trHeight w:val="255" w:hRule="atLeast"/>
        </w:trPr>
        <w:tc>
          <w:tcPr>
            <w:tcW w:w="303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编制单位：宁夏银川市金凤区发展和改革局</w:t>
            </w:r>
          </w:p>
        </w:tc>
        <w:tc>
          <w:tcPr>
            <w:tcW w:w="525"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16"/>
                <w:szCs w:val="16"/>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2022年度</w:t>
            </w:r>
          </w:p>
        </w:tc>
        <w:tc>
          <w:tcPr>
            <w:tcW w:w="12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88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    标</w:t>
            </w:r>
          </w:p>
        </w:tc>
        <w:tc>
          <w:tcPr>
            <w:tcW w:w="525"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1275"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本年度</w:t>
            </w:r>
          </w:p>
        </w:tc>
        <w:tc>
          <w:tcPr>
            <w:tcW w:w="132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上年度</w:t>
            </w:r>
          </w:p>
        </w:tc>
        <w:tc>
          <w:tcPr>
            <w:tcW w:w="120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比上年增减</w:t>
            </w:r>
          </w:p>
        </w:tc>
        <w:tc>
          <w:tcPr>
            <w:tcW w:w="885"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增减％</w:t>
            </w:r>
          </w:p>
        </w:tc>
        <w:tc>
          <w:tcPr>
            <w:tcW w:w="1695" w:type="dxa"/>
            <w:vMerge w:val="restart"/>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原因</w:t>
            </w:r>
          </w:p>
        </w:tc>
      </w:tr>
      <w:tr>
        <w:tblPrEx>
          <w:shd w:val="clear" w:color="auto" w:fill="auto"/>
          <w:tblCellMar>
            <w:top w:w="0" w:type="dxa"/>
            <w:left w:w="0" w:type="dxa"/>
            <w:bottom w:w="0" w:type="dxa"/>
            <w:right w:w="0" w:type="dxa"/>
          </w:tblCellMar>
        </w:tblPrEx>
        <w:trPr>
          <w:trHeight w:val="308" w:hRule="atLeast"/>
        </w:trPr>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5"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695"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栏    次 </w:t>
            </w:r>
          </w:p>
        </w:tc>
        <w:tc>
          <w:tcPr>
            <w:tcW w:w="525"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一、年度收支情况（单位：元）</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1.本年收入</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12,285,071.47</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3,197,035.86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9,088,035.61</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284.26</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本年收到财政专项资金较多，自治区第一、第二批服务业发展引导资金</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其中：一般公共预算财政拨款</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12,119,854.90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3,009,129.76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9,110,725.14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302.77</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本年收到财政专项资金较多，自治区第一、第二批服务业发展引导资金</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政府性基金预算财政拨款</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国有资本经营预算财政拨款</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*事业收入</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事业单位经营收入</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*其他收入</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165,216.57</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187,906.10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-22,689.53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-12.07</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商务经合局拨款招商引资奖励工作经费2022年10万元，2021年14万元，同比减少4万元。</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2.本年支出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12,194,864.48</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5,691,447.61</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6,503,416.87</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114.27</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财政项目收入增加，同比财政项目支出增加</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其中：基本支出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2,930,800.28</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2,611,125.63</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319,674.65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12.24</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人员工资普及社保基数上调导致人员经费支出增长</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（1）人员经费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2,809,881.13</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2,468,144.83</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341,736.30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13.85</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行政事业单位薪资制度改革及薪资普调社保基数上调</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（2）公用经费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120,919.15</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142,980.80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-22,061.65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-15.43</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机关倡导厉行节约，取得一定成效</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项目支出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9,264,064.20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3,080,321.98</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6,183,742.22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200.75</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财政下拨几批服务业发展引导资金</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其中：基本建设类项目</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事业单位经营支出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3.年末结转和结余</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267,208.46</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185,248.08</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81,960.38</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44.24</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部分单位考核未完成，金凤区发改局招商引资奖励未能发放</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其中：一般公共预算财政拨款</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17,317.84</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16,326.36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991.48</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6.07</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退役人员部分安置支出未发放</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政府性基金预算财政拨款</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国有资本经营预算财政拨款</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二、年末资产负债信息（单位：元）</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1.货币资金</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247,606.00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195,817.51</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51,788.49</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26.45</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账户货币资金为本年财政拨款结转，本年末财政拨款结转比上年多5万多</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2.财政应返还额度</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3.房屋</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4.车辆</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518,066.00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518,066.00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5.在建工程</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6.借款</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7.应缴财政款</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8.应付职工薪酬</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6,823.65</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-6,823.65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上年财政提前扎帐，医保未缴纳，本年保险全部缴清，无余额</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三、年末机构人员情况（单位：个、人）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1.独立编制机构数</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2.独立核算机构数</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3.年末实有人数</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本年调出1人</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在职人员</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本年调出1人</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其中：行政人员</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-16.67</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本年调出1人</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参照公务员法管理事业人员</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非参公事业人员</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离休人员</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退休人员</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4.年末其他人员数</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5.年末学生人数</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四、补充资料（单位：元）</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1.固定资产情况</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房屋面积（平方米）</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车辆数量（辆）</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2.“三公”经费支出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其中：因公出国（境）费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公务用车购置及运行维护费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其中：公务用车购置费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公务用车运行维护费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公务接待费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3.培训费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14,500.00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-14,410.00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-99.38</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受疫情影响，部分培训未能开展</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4.会议费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5.机关运行经费</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120,909.15</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142,980.80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-22,071.65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-15.44</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机关倡导厉行节约，取得一定成效</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6.年初预算数</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本年收入合计</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23,297,171.37</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3,155,355.43</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20,141,815.94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638.34</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本年实际项目拨款比上年增加900多万，预算收入相应增加</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本年支出合计</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23,297,171.37</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3,155,355.43</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20,141,815.94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638.34</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本年实际项目拨款比上年增加900多万，预算支出相应增加</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年末结转和结余</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7.全年预算数</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本年收入合计</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12,462,072.94</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5,691,447.61</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6,770,625.33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118.96</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本年实际项目拨款比上年增加900多万，预算收入相应增加</w:t>
            </w:r>
          </w:p>
        </w:tc>
      </w:tr>
      <w:tr>
        <w:tblPrEx>
          <w:shd w:val="clear" w:color="auto" w:fill="auto"/>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本年支出合计</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12,462,072.94</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5,691,447.61</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6,770,625.33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118.96</w:t>
            </w:r>
          </w:p>
        </w:tc>
        <w:tc>
          <w:tcPr>
            <w:tcW w:w="169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本年实际项目拨款比上年增加900多万，预算支出相应增加</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年末结转和结余</w:t>
            </w:r>
          </w:p>
        </w:tc>
        <w:tc>
          <w:tcPr>
            <w:tcW w:w="52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127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2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0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8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6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bl>
    <w:p>
      <w:pPr>
        <w:widowControl/>
        <w:ind w:firstLine="480"/>
        <w:rPr>
          <w:rFonts w:hint="eastAsia" w:ascii="仿宋_GB2312" w:hAnsi="sans-serif" w:eastAsia="仿宋_GB2312" w:cs="仿宋_GB2312"/>
          <w:color w:val="000000"/>
          <w:kern w:val="0"/>
          <w:sz w:val="24"/>
        </w:rPr>
      </w:pPr>
    </w:p>
    <w:p>
      <w:pPr>
        <w:widowControl/>
        <w:rPr>
          <w:rFonts w:hint="eastAsia" w:ascii="sans-serif" w:hAnsi="sans-serif" w:cs="sans-serif"/>
          <w:color w:val="000000"/>
          <w:szCs w:val="21"/>
        </w:rPr>
      </w:pPr>
      <w:r>
        <w:rPr>
          <w:rFonts w:hint="eastAsia" w:ascii="黑体" w:hAnsi="sans-serif" w:eastAsia="黑体" w:cs="黑体"/>
          <w:color w:val="000000"/>
          <w:kern w:val="0"/>
          <w:sz w:val="24"/>
        </w:rPr>
        <w:t> </w:t>
      </w:r>
    </w:p>
    <w:p>
      <w:pPr>
        <w:widowControl/>
        <w:ind w:firstLine="480"/>
        <w:rPr>
          <w:rFonts w:hint="eastAsia" w:ascii="sans-serif" w:hAnsi="sans-serif" w:cs="sans-serif"/>
          <w:color w:val="000000"/>
          <w:szCs w:val="21"/>
        </w:rPr>
      </w:pPr>
      <w:r>
        <w:rPr>
          <w:rFonts w:hint="eastAsia" w:ascii="黑体" w:hAnsi="sans-serif" w:eastAsia="黑体" w:cs="黑体"/>
          <w:color w:val="000000"/>
          <w:kern w:val="0"/>
          <w:sz w:val="24"/>
        </w:rPr>
        <w:t>四、报表审核情况</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（一）审核情况。</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1．审核公式。</w:t>
      </w:r>
    </w:p>
    <w:p>
      <w:pPr>
        <w:widowControl/>
        <w:ind w:firstLine="480"/>
        <w:rPr>
          <w:rFonts w:hint="eastAsia" w:ascii="仿宋_GB2312" w:hAnsi="sans-serif" w:eastAsia="仿宋_GB2312" w:cs="仿宋_GB2312"/>
          <w:color w:val="000000"/>
          <w:kern w:val="0"/>
          <w:sz w:val="24"/>
        </w:rPr>
      </w:pPr>
      <w:r>
        <w:rPr>
          <w:rFonts w:hint="eastAsia" w:ascii="仿宋_GB2312" w:hAnsi="sans-serif" w:eastAsia="仿宋_GB2312" w:cs="仿宋_GB2312"/>
          <w:color w:val="000000"/>
          <w:kern w:val="0"/>
          <w:sz w:val="24"/>
        </w:rPr>
        <w:t>审核公式共提示</w:t>
      </w:r>
      <w:r>
        <w:rPr>
          <w:rFonts w:hint="eastAsia" w:ascii="仿宋_GB2312" w:hAnsi="sans-serif" w:eastAsia="仿宋_GB2312" w:cs="仿宋_GB2312"/>
          <w:color w:val="000000"/>
          <w:kern w:val="0"/>
          <w:sz w:val="24"/>
          <w:lang w:val="en-US" w:eastAsia="zh-CN"/>
        </w:rPr>
        <w:t>2</w:t>
      </w:r>
      <w:r>
        <w:rPr>
          <w:rFonts w:hint="eastAsia" w:ascii="仿宋_GB2312" w:hAnsi="sans-serif" w:eastAsia="仿宋_GB2312" w:cs="仿宋_GB2312"/>
          <w:color w:val="000000"/>
          <w:kern w:val="0"/>
          <w:sz w:val="24"/>
        </w:rPr>
        <w:t>条。其中：</w:t>
      </w:r>
    </w:p>
    <w:p>
      <w:pPr>
        <w:widowControl/>
        <w:ind w:firstLine="480"/>
        <w:rPr>
          <w:rFonts w:hint="eastAsia" w:ascii="仿宋_GB2312" w:hAnsi="sans-serif" w:eastAsia="仿宋_GB2312" w:cs="仿宋_GB2312"/>
          <w:color w:val="000000"/>
          <w:kern w:val="0"/>
          <w:sz w:val="24"/>
          <w:lang w:eastAsia="zh-CN"/>
        </w:rPr>
      </w:pPr>
      <w:r>
        <w:rPr>
          <w:rFonts w:hint="eastAsia" w:ascii="仿宋_GB2312" w:hAnsi="sans-serif" w:eastAsia="仿宋_GB2312" w:cs="仿宋_GB2312"/>
          <w:color w:val="000000"/>
          <w:kern w:val="0"/>
          <w:sz w:val="24"/>
        </w:rPr>
        <w:t>1、A938</w:t>
      </w:r>
      <w:r>
        <w:rPr>
          <w:rFonts w:hint="eastAsia" w:ascii="仿宋_GB2312" w:hAnsi="sans-serif" w:eastAsia="仿宋_GB2312" w:cs="仿宋_GB2312"/>
          <w:color w:val="000000"/>
          <w:kern w:val="0"/>
          <w:sz w:val="24"/>
          <w:lang w:eastAsia="zh-CN"/>
        </w:rPr>
        <w:t>公式，提示内容为</w:t>
      </w:r>
      <w:r>
        <w:rPr>
          <w:rFonts w:hint="eastAsia" w:ascii="仿宋_GB2312" w:hAnsi="sans-serif" w:eastAsia="仿宋_GB2312" w:cs="仿宋_GB2312"/>
          <w:color w:val="000000"/>
          <w:kern w:val="0"/>
          <w:sz w:val="24"/>
        </w:rPr>
        <w:t>[Z05_2] 项目支出决算明细表(财决05-2表)    对企业补助中“其他”所占比重超过30%，需说明具体构成 [1,100]/[1,95]*100=100 ([1,100]/[1,95]*100)-(30)=70</w:t>
      </w:r>
      <w:r>
        <w:rPr>
          <w:rFonts w:hint="eastAsia" w:ascii="仿宋_GB2312" w:hAnsi="sans-serif" w:eastAsia="仿宋_GB2312" w:cs="仿宋_GB2312"/>
          <w:color w:val="000000"/>
          <w:kern w:val="0"/>
          <w:sz w:val="24"/>
          <w:lang w:eastAsia="zh-CN"/>
        </w:rPr>
        <w:t>，</w:t>
      </w:r>
      <w:r>
        <w:rPr>
          <w:rFonts w:hint="eastAsia" w:ascii="仿宋_GB2312" w:hAnsi="sans-serif" w:eastAsia="仿宋_GB2312" w:cs="仿宋_GB2312"/>
          <w:color w:val="000000"/>
          <w:kern w:val="0"/>
          <w:sz w:val="24"/>
        </w:rPr>
        <w:t xml:space="preserve"> </w:t>
      </w:r>
      <w:r>
        <w:rPr>
          <w:rFonts w:hint="eastAsia" w:ascii="仿宋_GB2312" w:hAnsi="sans-serif" w:eastAsia="仿宋_GB2312" w:cs="仿宋_GB2312"/>
          <w:color w:val="000000"/>
          <w:kern w:val="0"/>
          <w:sz w:val="24"/>
          <w:lang w:eastAsia="zh-CN"/>
        </w:rPr>
        <w:t>原因是（</w:t>
      </w:r>
      <w:r>
        <w:rPr>
          <w:rFonts w:hint="eastAsia" w:ascii="仿宋_GB2312" w:hAnsi="sans-serif" w:eastAsia="仿宋_GB2312" w:cs="仿宋_GB2312"/>
          <w:color w:val="000000"/>
          <w:kern w:val="0"/>
          <w:sz w:val="24"/>
          <w:lang w:val="en-US" w:eastAsia="zh-CN"/>
        </w:rPr>
        <w:t>1</w:t>
      </w:r>
      <w:r>
        <w:rPr>
          <w:rFonts w:hint="eastAsia" w:ascii="仿宋_GB2312" w:hAnsi="sans-serif" w:eastAsia="仿宋_GB2312" w:cs="仿宋_GB2312"/>
          <w:color w:val="000000"/>
          <w:kern w:val="0"/>
          <w:sz w:val="24"/>
          <w:lang w:eastAsia="zh-CN"/>
        </w:rPr>
        <w:t>）</w:t>
      </w:r>
      <w:r>
        <w:rPr>
          <w:rFonts w:hint="eastAsia" w:ascii="仿宋_GB2312" w:hAnsi="sans-serif" w:eastAsia="仿宋_GB2312" w:cs="仿宋_GB2312"/>
          <w:color w:val="000000"/>
          <w:kern w:val="0"/>
          <w:sz w:val="24"/>
        </w:rPr>
        <w:t>支付金凤区投资贡献突出企业奖励21家共计28万元。</w:t>
      </w:r>
      <w:r>
        <w:rPr>
          <w:rFonts w:hint="eastAsia" w:ascii="仿宋_GB2312" w:hAnsi="sans-serif" w:eastAsia="仿宋_GB2312" w:cs="仿宋_GB2312"/>
          <w:color w:val="000000"/>
          <w:kern w:val="0"/>
          <w:sz w:val="24"/>
          <w:lang w:eastAsia="zh-CN"/>
        </w:rPr>
        <w:t>（</w:t>
      </w:r>
      <w:r>
        <w:rPr>
          <w:rFonts w:hint="eastAsia" w:ascii="仿宋_GB2312" w:hAnsi="sans-serif" w:eastAsia="仿宋_GB2312" w:cs="仿宋_GB2312"/>
          <w:color w:val="000000"/>
          <w:kern w:val="0"/>
          <w:sz w:val="24"/>
        </w:rPr>
        <w:t>2</w:t>
      </w:r>
      <w:r>
        <w:rPr>
          <w:rFonts w:hint="eastAsia" w:ascii="仿宋_GB2312" w:hAnsi="sans-serif" w:eastAsia="仿宋_GB2312" w:cs="仿宋_GB2312"/>
          <w:color w:val="000000"/>
          <w:kern w:val="0"/>
          <w:sz w:val="24"/>
          <w:lang w:eastAsia="zh-CN"/>
        </w:rPr>
        <w:t>）</w:t>
      </w:r>
      <w:r>
        <w:rPr>
          <w:rFonts w:hint="eastAsia" w:ascii="仿宋_GB2312" w:hAnsi="sans-serif" w:eastAsia="仿宋_GB2312" w:cs="仿宋_GB2312"/>
          <w:color w:val="000000"/>
          <w:kern w:val="0"/>
          <w:sz w:val="24"/>
        </w:rPr>
        <w:t>支付2019年服务业引导资金50万元</w:t>
      </w:r>
      <w:r>
        <w:rPr>
          <w:rFonts w:hint="eastAsia" w:ascii="仿宋_GB2312" w:hAnsi="sans-serif" w:eastAsia="仿宋_GB2312" w:cs="仿宋_GB2312"/>
          <w:color w:val="000000"/>
          <w:kern w:val="0"/>
          <w:sz w:val="24"/>
          <w:lang w:eastAsia="zh-CN"/>
        </w:rPr>
        <w:t>。（</w:t>
      </w:r>
      <w:r>
        <w:rPr>
          <w:rFonts w:hint="eastAsia" w:ascii="仿宋_GB2312" w:hAnsi="sans-serif" w:eastAsia="仿宋_GB2312" w:cs="仿宋_GB2312"/>
          <w:color w:val="000000"/>
          <w:kern w:val="0"/>
          <w:sz w:val="24"/>
        </w:rPr>
        <w:t>3</w:t>
      </w:r>
      <w:r>
        <w:rPr>
          <w:rFonts w:hint="eastAsia" w:ascii="仿宋_GB2312" w:hAnsi="sans-serif" w:eastAsia="仿宋_GB2312" w:cs="仿宋_GB2312"/>
          <w:color w:val="000000"/>
          <w:kern w:val="0"/>
          <w:sz w:val="24"/>
          <w:lang w:eastAsia="zh-CN"/>
        </w:rPr>
        <w:t>）</w:t>
      </w:r>
      <w:r>
        <w:rPr>
          <w:rFonts w:hint="eastAsia" w:ascii="仿宋_GB2312" w:hAnsi="sans-serif" w:eastAsia="仿宋_GB2312" w:cs="仿宋_GB2312"/>
          <w:color w:val="000000"/>
          <w:kern w:val="0"/>
          <w:sz w:val="24"/>
        </w:rPr>
        <w:t>支付2020年服务业引导资金85万元。</w:t>
      </w:r>
      <w:r>
        <w:rPr>
          <w:rFonts w:hint="eastAsia" w:ascii="仿宋_GB2312" w:hAnsi="sans-serif" w:eastAsia="仿宋_GB2312" w:cs="仿宋_GB2312"/>
          <w:color w:val="000000"/>
          <w:kern w:val="0"/>
          <w:sz w:val="24"/>
          <w:lang w:eastAsia="zh-CN"/>
        </w:rPr>
        <w:t>（</w:t>
      </w:r>
      <w:r>
        <w:rPr>
          <w:rFonts w:hint="eastAsia" w:ascii="仿宋_GB2312" w:hAnsi="sans-serif" w:eastAsia="仿宋_GB2312" w:cs="仿宋_GB2312"/>
          <w:color w:val="000000"/>
          <w:kern w:val="0"/>
          <w:sz w:val="24"/>
        </w:rPr>
        <w:t>4</w:t>
      </w:r>
      <w:r>
        <w:rPr>
          <w:rFonts w:hint="eastAsia" w:ascii="仿宋_GB2312" w:hAnsi="sans-serif" w:eastAsia="仿宋_GB2312" w:cs="仿宋_GB2312"/>
          <w:color w:val="000000"/>
          <w:kern w:val="0"/>
          <w:sz w:val="24"/>
          <w:lang w:eastAsia="zh-CN"/>
        </w:rPr>
        <w:t>）</w:t>
      </w:r>
      <w:r>
        <w:rPr>
          <w:rFonts w:hint="eastAsia" w:ascii="仿宋_GB2312" w:hAnsi="sans-serif" w:eastAsia="仿宋_GB2312" w:cs="仿宋_GB2312"/>
          <w:color w:val="000000"/>
          <w:kern w:val="0"/>
          <w:sz w:val="24"/>
        </w:rPr>
        <w:t>支付2022年金凤区第一批重大项目开工推进会活动经费153540元</w:t>
      </w:r>
      <w:r>
        <w:rPr>
          <w:rFonts w:hint="eastAsia" w:ascii="仿宋_GB2312" w:hAnsi="sans-serif" w:eastAsia="仿宋_GB2312" w:cs="仿宋_GB2312"/>
          <w:color w:val="000000"/>
          <w:kern w:val="0"/>
          <w:sz w:val="24"/>
          <w:lang w:eastAsia="zh-CN"/>
        </w:rPr>
        <w:t>。</w:t>
      </w:r>
    </w:p>
    <w:p>
      <w:pPr>
        <w:widowControl/>
        <w:ind w:firstLine="480"/>
        <w:rPr>
          <w:rFonts w:hint="eastAsia" w:ascii="仿宋_GB2312" w:hAnsi="sans-serif" w:eastAsia="仿宋_GB2312" w:cs="仿宋_GB2312"/>
          <w:color w:val="000000"/>
          <w:kern w:val="0"/>
          <w:sz w:val="24"/>
          <w:lang w:eastAsia="zh-CN"/>
        </w:rPr>
      </w:pPr>
    </w:p>
    <w:p>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 xml:space="preserve">    2、A154</w:t>
      </w:r>
      <w:r>
        <w:rPr>
          <w:rFonts w:hint="eastAsia" w:ascii="仿宋" w:hAnsi="仿宋" w:eastAsia="仿宋" w:cs="仿宋"/>
          <w:color w:val="000000"/>
          <w:kern w:val="0"/>
          <w:sz w:val="24"/>
          <w:lang w:eastAsia="zh-CN"/>
        </w:rPr>
        <w:t>公式，提示内容为</w:t>
      </w:r>
      <w:r>
        <w:rPr>
          <w:rFonts w:hint="eastAsia" w:ascii="仿宋" w:hAnsi="仿宋" w:eastAsia="仿宋" w:cs="仿宋"/>
          <w:color w:val="000000"/>
          <w:kern w:val="0"/>
          <w:sz w:val="24"/>
        </w:rPr>
        <w:t>[Z08_2] 一般公共预算财政拨款项目支出决算明细表(财决08-2表)对企业补助中“其他”所占比重超过30%，需说明具体构成</w:t>
      </w:r>
    </w:p>
    <w:p>
      <w:pPr>
        <w:widowControl/>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 xml:space="preserve">    [1,100]/[1,95]*100=100 ([1,100]/[1,95]*100)-(30)=70</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 xml:space="preserve"> 1支付金凤区投资贡献突出企业奖励21家共计28万元。2.支付2019年服务业引导资金50万元.3.支付2020年服务业引导资金85万元。</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4</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支付2022年金凤区第一批重大项目开工推进会活动经费153540元</w:t>
      </w:r>
      <w:r>
        <w:rPr>
          <w:rFonts w:hint="eastAsia" w:ascii="仿宋" w:hAnsi="仿宋" w:eastAsia="仿宋" w:cs="仿宋"/>
          <w:color w:val="000000"/>
          <w:kern w:val="0"/>
          <w:sz w:val="24"/>
          <w:lang w:eastAsia="zh-CN"/>
        </w:rPr>
        <w:t>。</w:t>
      </w:r>
    </w:p>
    <w:p>
      <w:pPr>
        <w:widowControl/>
        <w:ind w:firstLine="480"/>
        <w:rPr>
          <w:rFonts w:hint="eastAsia" w:ascii="仿宋_GB2312" w:hAnsi="sans-serif" w:eastAsia="仿宋_GB2312" w:cs="仿宋_GB2312"/>
          <w:color w:val="000000"/>
          <w:kern w:val="0"/>
          <w:sz w:val="24"/>
        </w:rPr>
      </w:pP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2．审核模板。</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lang w:eastAsia="zh-CN"/>
        </w:rPr>
        <w:t>已</w:t>
      </w:r>
      <w:r>
        <w:rPr>
          <w:rFonts w:hint="eastAsia" w:ascii="仿宋_GB2312" w:hAnsi="sans-serif" w:eastAsia="仿宋_GB2312" w:cs="仿宋_GB2312"/>
          <w:color w:val="000000"/>
          <w:kern w:val="0"/>
          <w:sz w:val="24"/>
        </w:rPr>
        <w:t>按审核模板逐一</w:t>
      </w:r>
      <w:r>
        <w:rPr>
          <w:rFonts w:hint="eastAsia" w:ascii="仿宋_GB2312" w:hAnsi="sans-serif" w:eastAsia="仿宋_GB2312" w:cs="仿宋_GB2312"/>
          <w:color w:val="000000"/>
          <w:kern w:val="0"/>
          <w:sz w:val="24"/>
          <w:lang w:eastAsia="zh-CN"/>
        </w:rPr>
        <w:t>审核，没有发现审核提示错误。</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（二）对报表指标、审核公式和审核模板的设置建议。</w:t>
      </w:r>
    </w:p>
    <w:p>
      <w:pPr>
        <w:widowControl/>
        <w:ind w:firstLine="480"/>
        <w:rPr>
          <w:rFonts w:hint="eastAsia" w:ascii="仿宋_GB2312" w:hAnsi="sans-serif" w:eastAsia="仿宋_GB2312" w:cs="仿宋_GB2312"/>
          <w:color w:val="000000"/>
          <w:kern w:val="0"/>
          <w:sz w:val="24"/>
        </w:rPr>
      </w:pPr>
      <w:r>
        <w:rPr>
          <w:rFonts w:hint="eastAsia" w:ascii="仿宋_GB2312" w:hAnsi="sans-serif" w:eastAsia="仿宋_GB2312" w:cs="仿宋_GB2312"/>
          <w:color w:val="000000"/>
          <w:kern w:val="0"/>
          <w:sz w:val="24"/>
        </w:rPr>
        <w:t>1.对部门决算报表指标设置的建议。</w:t>
      </w:r>
    </w:p>
    <w:p>
      <w:pPr>
        <w:widowControl/>
        <w:ind w:firstLine="787" w:firstLineChars="328"/>
        <w:rPr>
          <w:rFonts w:hint="eastAsia" w:ascii="仿宋_GB2312" w:hAnsi="sans-serif" w:eastAsia="仿宋_GB2312" w:cs="仿宋_GB2312"/>
          <w:color w:val="000000"/>
          <w:kern w:val="0"/>
          <w:sz w:val="24"/>
          <w:lang w:eastAsia="zh-CN"/>
        </w:rPr>
      </w:pPr>
      <w:r>
        <w:rPr>
          <w:rFonts w:hint="eastAsia" w:ascii="仿宋_GB2312" w:hAnsi="sans-serif" w:eastAsia="仿宋_GB2312" w:cs="仿宋_GB2312"/>
          <w:color w:val="000000"/>
          <w:kern w:val="0"/>
          <w:sz w:val="24"/>
          <w:lang w:eastAsia="zh-CN"/>
        </w:rPr>
        <w:t>无</w:t>
      </w:r>
    </w:p>
    <w:p>
      <w:pPr>
        <w:widowControl/>
        <w:numPr>
          <w:ilvl w:val="0"/>
          <w:numId w:val="1"/>
        </w:numPr>
        <w:ind w:firstLine="480"/>
        <w:rPr>
          <w:rFonts w:hint="eastAsia" w:ascii="仿宋_GB2312" w:hAnsi="sans-serif" w:eastAsia="仿宋_GB2312" w:cs="仿宋_GB2312"/>
          <w:color w:val="000000"/>
          <w:kern w:val="0"/>
          <w:sz w:val="24"/>
        </w:rPr>
      </w:pPr>
      <w:r>
        <w:rPr>
          <w:rFonts w:hint="eastAsia" w:ascii="仿宋_GB2312" w:hAnsi="sans-serif" w:eastAsia="仿宋_GB2312" w:cs="仿宋_GB2312"/>
          <w:color w:val="000000"/>
          <w:kern w:val="0"/>
          <w:sz w:val="24"/>
        </w:rPr>
        <w:t>如有不适用的审核公式和模板，请列出并说明修改意见。</w:t>
      </w:r>
    </w:p>
    <w:p>
      <w:pPr>
        <w:widowControl/>
        <w:numPr>
          <w:ilvl w:val="0"/>
          <w:numId w:val="0"/>
        </w:numPr>
        <w:rPr>
          <w:rFonts w:hint="default" w:ascii="仿宋_GB2312" w:hAnsi="sans-serif" w:eastAsia="仿宋_GB2312" w:cs="仿宋_GB2312"/>
          <w:color w:val="000000"/>
          <w:kern w:val="0"/>
          <w:sz w:val="24"/>
          <w:lang w:val="en-US" w:eastAsia="zh-CN"/>
        </w:rPr>
      </w:pPr>
      <w:r>
        <w:rPr>
          <w:rFonts w:hint="eastAsia" w:ascii="仿宋_GB2312" w:hAnsi="sans-serif" w:eastAsia="仿宋_GB2312" w:cs="仿宋_GB2312"/>
          <w:color w:val="000000"/>
          <w:kern w:val="0"/>
          <w:sz w:val="24"/>
          <w:lang w:val="en-US" w:eastAsia="zh-CN"/>
        </w:rPr>
        <w:t xml:space="preserve">       无</w:t>
      </w:r>
    </w:p>
    <w:p>
      <w:pPr>
        <w:widowControl/>
        <w:numPr>
          <w:ilvl w:val="0"/>
          <w:numId w:val="1"/>
        </w:numPr>
        <w:ind w:left="0" w:leftChars="0" w:firstLine="480" w:firstLineChars="0"/>
        <w:rPr>
          <w:rFonts w:hint="eastAsia" w:ascii="仿宋_GB2312" w:hAnsi="sans-serif" w:eastAsia="仿宋_GB2312" w:cs="仿宋_GB2312"/>
          <w:color w:val="000000"/>
          <w:kern w:val="0"/>
          <w:sz w:val="24"/>
        </w:rPr>
      </w:pPr>
      <w:r>
        <w:rPr>
          <w:rFonts w:hint="eastAsia" w:ascii="仿宋_GB2312" w:hAnsi="sans-serif" w:eastAsia="仿宋_GB2312" w:cs="仿宋_GB2312"/>
          <w:color w:val="000000"/>
          <w:kern w:val="0"/>
          <w:sz w:val="24"/>
        </w:rPr>
        <w:t>单位自行增加的审核公式和模板，请列出并说明设置依据。</w:t>
      </w:r>
    </w:p>
    <w:p>
      <w:pPr>
        <w:widowControl/>
        <w:numPr>
          <w:ilvl w:val="0"/>
          <w:numId w:val="0"/>
        </w:numPr>
        <w:ind w:left="480" w:leftChars="0"/>
        <w:rPr>
          <w:rFonts w:hint="default" w:ascii="仿宋_GB2312" w:hAnsi="sans-serif" w:eastAsia="仿宋_GB2312" w:cs="仿宋_GB2312"/>
          <w:color w:val="000000"/>
          <w:kern w:val="0"/>
          <w:sz w:val="24"/>
          <w:lang w:val="en-US" w:eastAsia="zh-CN"/>
        </w:rPr>
      </w:pPr>
      <w:r>
        <w:rPr>
          <w:rFonts w:hint="eastAsia" w:ascii="仿宋_GB2312" w:hAnsi="sans-serif" w:eastAsia="仿宋_GB2312" w:cs="仿宋_GB2312"/>
          <w:color w:val="000000"/>
          <w:kern w:val="0"/>
          <w:sz w:val="24"/>
          <w:lang w:val="en-US" w:eastAsia="zh-CN"/>
        </w:rPr>
        <w:t xml:space="preserve">   无</w:t>
      </w:r>
    </w:p>
    <w:p>
      <w:pPr>
        <w:widowControl/>
        <w:ind w:firstLine="480"/>
        <w:rPr>
          <w:rFonts w:hint="eastAsia" w:ascii="sans-serif" w:hAnsi="sans-serif" w:cs="sans-serif"/>
          <w:color w:val="000000"/>
          <w:szCs w:val="21"/>
        </w:rPr>
      </w:pPr>
      <w:r>
        <w:rPr>
          <w:rFonts w:hint="eastAsia" w:ascii="楷体_GB2312" w:hAnsi="sans-serif" w:eastAsia="楷体_GB2312" w:cs="楷体_GB2312"/>
          <w:color w:val="000000"/>
          <w:kern w:val="0"/>
          <w:sz w:val="24"/>
        </w:rPr>
        <w:t> </w:t>
      </w:r>
    </w:p>
    <w:p>
      <w:pPr>
        <w:widowControl/>
        <w:ind w:firstLine="480"/>
        <w:rPr>
          <w:rFonts w:hint="eastAsia" w:ascii="sans-serif" w:hAnsi="sans-serif" w:cs="sans-serif"/>
          <w:color w:val="000000"/>
          <w:szCs w:val="21"/>
        </w:rPr>
      </w:pPr>
      <w:r>
        <w:rPr>
          <w:rFonts w:hint="eastAsia" w:ascii="黑体" w:hAnsi="sans-serif" w:eastAsia="黑体" w:cs="黑体"/>
          <w:color w:val="000000"/>
          <w:kern w:val="0"/>
          <w:sz w:val="24"/>
        </w:rPr>
        <w:t>五、决算数据其他需要说明的情况</w:t>
      </w:r>
    </w:p>
    <w:p>
      <w:pPr>
        <w:widowControl/>
        <w:ind w:firstLine="480"/>
        <w:rPr>
          <w:rFonts w:hint="eastAsia" w:ascii="仿宋_GB2312" w:hAnsi="sans-serif" w:eastAsia="仿宋_GB2312" w:cs="仿宋_GB2312"/>
          <w:color w:val="000000"/>
          <w:kern w:val="0"/>
          <w:sz w:val="24"/>
        </w:rPr>
      </w:pPr>
      <w:r>
        <w:rPr>
          <w:rFonts w:hint="eastAsia" w:ascii="仿宋_GB2312" w:hAnsi="sans-serif" w:eastAsia="仿宋_GB2312" w:cs="仿宋_GB2312"/>
          <w:color w:val="000000"/>
          <w:kern w:val="0"/>
          <w:sz w:val="24"/>
        </w:rPr>
        <w:t>1．“收入决算表”中其他收入的具体构成情况，说明单位从同级财政以外的同级政府部门取得的横向转拨财政款、从上级或下级政府（包括政府财政和政府部门）取得的各类财政款，纳入单位预算管理的投资收益、利息收入、捐赠收入、事业单位固定资产出租收入等情况（附表3）</w:t>
      </w:r>
    </w:p>
    <w:tbl>
      <w:tblPr>
        <w:tblStyle w:val="5"/>
        <w:tblW w:w="7958" w:type="dxa"/>
        <w:jc w:val="center"/>
        <w:tblLayout w:type="fixed"/>
        <w:tblCellMar>
          <w:top w:w="0" w:type="dxa"/>
          <w:left w:w="15" w:type="dxa"/>
          <w:bottom w:w="0" w:type="dxa"/>
          <w:right w:w="15" w:type="dxa"/>
        </w:tblCellMar>
      </w:tblPr>
      <w:tblGrid>
        <w:gridCol w:w="6698"/>
        <w:gridCol w:w="1260"/>
      </w:tblGrid>
      <w:tr>
        <w:tblPrEx>
          <w:tblCellMar>
            <w:top w:w="0" w:type="dxa"/>
            <w:left w:w="15" w:type="dxa"/>
            <w:bottom w:w="0" w:type="dxa"/>
            <w:right w:w="15" w:type="dxa"/>
          </w:tblCellMar>
        </w:tblPrEx>
        <w:trPr>
          <w:trHeight w:val="600" w:hRule="atLeast"/>
          <w:jc w:val="center"/>
        </w:trPr>
        <w:tc>
          <w:tcPr>
            <w:tcW w:w="795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bottom"/>
              <w:rPr>
                <w:rFonts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rPr>
              <w:t>“收入决算表”中其他收入的具体构成情况</w:t>
            </w:r>
          </w:p>
        </w:tc>
      </w:tr>
      <w:tr>
        <w:tblPrEx>
          <w:tblCellMar>
            <w:top w:w="0" w:type="dxa"/>
            <w:left w:w="15" w:type="dxa"/>
            <w:bottom w:w="0" w:type="dxa"/>
            <w:right w:w="15" w:type="dxa"/>
          </w:tblCellMar>
        </w:tblPrEx>
        <w:trPr>
          <w:trHeight w:val="600" w:hRule="atLeast"/>
          <w:jc w:val="center"/>
        </w:trPr>
        <w:tc>
          <w:tcPr>
            <w:tcW w:w="669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bottom"/>
              <w:rPr>
                <w:rFonts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rPr>
              <w:t>项目</w:t>
            </w: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bottom"/>
              <w:rPr>
                <w:rFonts w:hint="eastAsia" w:asciiTheme="minorEastAsia" w:hAnsiTheme="minorEastAsia" w:eastAsiaTheme="minorEastAsia" w:cstheme="minorEastAsia"/>
                <w:color w:val="000000" w:themeColor="text1"/>
                <w:sz w:val="20"/>
                <w:szCs w:val="20"/>
                <w:lang w:eastAsia="zh-CN"/>
              </w:rPr>
            </w:pPr>
            <w:r>
              <w:rPr>
                <w:rFonts w:hint="eastAsia" w:asciiTheme="minorEastAsia" w:hAnsiTheme="minorEastAsia" w:eastAsiaTheme="minorEastAsia" w:cstheme="minorEastAsia"/>
                <w:color w:val="000000" w:themeColor="text1"/>
                <w:sz w:val="20"/>
                <w:szCs w:val="20"/>
              </w:rPr>
              <w:t>金额</w:t>
            </w:r>
            <w:r>
              <w:rPr>
                <w:rFonts w:hint="eastAsia" w:asciiTheme="minorEastAsia" w:hAnsiTheme="minorEastAsia" w:cstheme="minorEastAsia"/>
                <w:color w:val="000000" w:themeColor="text1"/>
                <w:sz w:val="20"/>
                <w:szCs w:val="20"/>
                <w:lang w:eastAsia="zh-CN"/>
              </w:rPr>
              <w:t>（元）</w:t>
            </w:r>
          </w:p>
        </w:tc>
      </w:tr>
      <w:tr>
        <w:tblPrEx>
          <w:tblCellMar>
            <w:top w:w="0" w:type="dxa"/>
            <w:left w:w="15" w:type="dxa"/>
            <w:bottom w:w="0" w:type="dxa"/>
            <w:right w:w="15" w:type="dxa"/>
          </w:tblCellMar>
        </w:tblPrEx>
        <w:trPr>
          <w:trHeight w:val="332" w:hRule="atLeast"/>
          <w:jc w:val="center"/>
        </w:trPr>
        <w:tc>
          <w:tcPr>
            <w:tcW w:w="669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lang w:eastAsia="zh-CN"/>
              </w:rPr>
              <w:t>收</w:t>
            </w:r>
            <w:r>
              <w:rPr>
                <w:rFonts w:hint="eastAsia" w:asciiTheme="minorEastAsia" w:hAnsiTheme="minorEastAsia" w:eastAsiaTheme="minorEastAsia" w:cstheme="minorEastAsia"/>
                <w:color w:val="000000" w:themeColor="text1"/>
                <w:sz w:val="20"/>
                <w:szCs w:val="20"/>
              </w:rPr>
              <w:t>金凤区就业局拨来公岗社保</w:t>
            </w:r>
          </w:p>
        </w:tc>
        <w:tc>
          <w:tcPr>
            <w:tcW w:w="1260" w:type="dxa"/>
            <w:tcBorders>
              <w:top w:val="single" w:color="000000" w:sz="4" w:space="0"/>
              <w:left w:val="single" w:color="000000" w:sz="4" w:space="0"/>
              <w:bottom w:val="single" w:color="000000" w:sz="4" w:space="0"/>
              <w:right w:val="single" w:color="000000" w:sz="4" w:space="0"/>
            </w:tcBorders>
            <w:vAlign w:val="center"/>
          </w:tcPr>
          <w:p>
            <w:pPr>
              <w:ind w:firstLine="200" w:firstLineChars="100"/>
              <w:jc w:val="both"/>
              <w:rPr>
                <w:rFonts w:hint="default"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cstheme="minorEastAsia"/>
                <w:color w:val="000000" w:themeColor="text1"/>
                <w:sz w:val="20"/>
                <w:szCs w:val="20"/>
                <w:lang w:val="en-US" w:eastAsia="zh-CN"/>
              </w:rPr>
              <w:t>46016.57</w:t>
            </w:r>
          </w:p>
        </w:tc>
      </w:tr>
      <w:tr>
        <w:tblPrEx>
          <w:tblCellMar>
            <w:top w:w="0" w:type="dxa"/>
            <w:left w:w="15" w:type="dxa"/>
            <w:bottom w:w="0" w:type="dxa"/>
            <w:right w:w="15" w:type="dxa"/>
          </w:tblCellMar>
        </w:tblPrEx>
        <w:trPr>
          <w:trHeight w:val="285" w:hRule="atLeast"/>
          <w:jc w:val="center"/>
        </w:trPr>
        <w:tc>
          <w:tcPr>
            <w:tcW w:w="669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lang w:eastAsia="zh-CN"/>
              </w:rPr>
              <w:t>收</w:t>
            </w:r>
            <w:r>
              <w:rPr>
                <w:rFonts w:hint="eastAsia" w:asciiTheme="minorEastAsia" w:hAnsiTheme="minorEastAsia" w:cstheme="minorEastAsia"/>
                <w:color w:val="000000" w:themeColor="text1"/>
                <w:sz w:val="20"/>
                <w:szCs w:val="20"/>
                <w:lang w:eastAsia="zh-CN"/>
              </w:rPr>
              <w:t>金凤区</w:t>
            </w:r>
            <w:r>
              <w:rPr>
                <w:rFonts w:hint="eastAsia" w:asciiTheme="minorEastAsia" w:hAnsiTheme="minorEastAsia" w:eastAsiaTheme="minorEastAsia" w:cstheme="minorEastAsia"/>
                <w:color w:val="000000" w:themeColor="text1"/>
                <w:sz w:val="20"/>
                <w:szCs w:val="20"/>
              </w:rPr>
              <w:t>组织部拨来党建经费</w:t>
            </w:r>
          </w:p>
        </w:tc>
        <w:tc>
          <w:tcPr>
            <w:tcW w:w="1260" w:type="dxa"/>
            <w:tcBorders>
              <w:top w:val="single" w:color="000000" w:sz="4" w:space="0"/>
              <w:left w:val="single" w:color="000000" w:sz="4" w:space="0"/>
              <w:bottom w:val="single" w:color="000000" w:sz="4" w:space="0"/>
              <w:right w:val="single" w:color="000000" w:sz="4" w:space="0"/>
            </w:tcBorders>
            <w:vAlign w:val="center"/>
          </w:tcPr>
          <w:p>
            <w:pPr>
              <w:ind w:firstLine="200" w:firstLineChars="100"/>
              <w:jc w:val="both"/>
              <w:rPr>
                <w:rFonts w:hint="default"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cstheme="minorEastAsia"/>
                <w:color w:val="000000" w:themeColor="text1"/>
                <w:sz w:val="20"/>
                <w:szCs w:val="20"/>
                <w:lang w:val="en-US" w:eastAsia="zh-CN"/>
              </w:rPr>
              <w:t>2000.00</w:t>
            </w:r>
          </w:p>
        </w:tc>
      </w:tr>
      <w:tr>
        <w:tblPrEx>
          <w:tblCellMar>
            <w:top w:w="0" w:type="dxa"/>
            <w:left w:w="15" w:type="dxa"/>
            <w:bottom w:w="0" w:type="dxa"/>
            <w:right w:w="15" w:type="dxa"/>
          </w:tblCellMar>
        </w:tblPrEx>
        <w:trPr>
          <w:trHeight w:val="285" w:hRule="atLeast"/>
          <w:jc w:val="center"/>
        </w:trPr>
        <w:tc>
          <w:tcPr>
            <w:tcW w:w="669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lang w:eastAsia="zh-CN"/>
              </w:rPr>
              <w:t>收</w:t>
            </w:r>
            <w:r>
              <w:rPr>
                <w:rFonts w:hint="eastAsia" w:asciiTheme="minorEastAsia" w:hAnsiTheme="minorEastAsia" w:cstheme="minorEastAsia"/>
                <w:color w:val="000000" w:themeColor="text1"/>
                <w:sz w:val="20"/>
                <w:szCs w:val="20"/>
                <w:lang w:eastAsia="zh-CN"/>
              </w:rPr>
              <w:t>金凤区</w:t>
            </w:r>
            <w:r>
              <w:rPr>
                <w:rFonts w:hint="eastAsia" w:asciiTheme="minorEastAsia" w:hAnsiTheme="minorEastAsia" w:eastAsiaTheme="minorEastAsia" w:cstheme="minorEastAsia"/>
                <w:color w:val="000000" w:themeColor="text1"/>
                <w:sz w:val="20"/>
                <w:szCs w:val="20"/>
              </w:rPr>
              <w:t>商务局拨来招商引资资金</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cstheme="minorEastAsia"/>
                <w:color w:val="000000" w:themeColor="text1"/>
                <w:sz w:val="20"/>
                <w:szCs w:val="20"/>
                <w:lang w:val="en-US" w:eastAsia="zh-CN"/>
              </w:rPr>
              <w:t>100000.00</w:t>
            </w:r>
          </w:p>
        </w:tc>
      </w:tr>
      <w:tr>
        <w:tblPrEx>
          <w:tblCellMar>
            <w:top w:w="0" w:type="dxa"/>
            <w:left w:w="15" w:type="dxa"/>
            <w:bottom w:w="0" w:type="dxa"/>
            <w:right w:w="15" w:type="dxa"/>
          </w:tblCellMar>
        </w:tblPrEx>
        <w:trPr>
          <w:trHeight w:val="285" w:hRule="atLeast"/>
          <w:jc w:val="center"/>
        </w:trPr>
        <w:tc>
          <w:tcPr>
            <w:tcW w:w="669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lang w:eastAsia="zh-CN"/>
              </w:rPr>
              <w:t>收</w:t>
            </w:r>
            <w:r>
              <w:rPr>
                <w:rFonts w:hint="eastAsia" w:asciiTheme="minorEastAsia" w:hAnsiTheme="minorEastAsia" w:eastAsiaTheme="minorEastAsia" w:cstheme="minorEastAsia"/>
                <w:color w:val="000000" w:themeColor="text1"/>
                <w:sz w:val="20"/>
                <w:szCs w:val="20"/>
              </w:rPr>
              <w:t>银川市粮食局拨来粮油平衡调查经费</w:t>
            </w:r>
          </w:p>
        </w:tc>
        <w:tc>
          <w:tcPr>
            <w:tcW w:w="1260" w:type="dxa"/>
            <w:tcBorders>
              <w:top w:val="single" w:color="000000" w:sz="4" w:space="0"/>
              <w:left w:val="single" w:color="000000" w:sz="4" w:space="0"/>
              <w:bottom w:val="single" w:color="000000" w:sz="4" w:space="0"/>
              <w:right w:val="single" w:color="000000" w:sz="4" w:space="0"/>
            </w:tcBorders>
            <w:vAlign w:val="center"/>
          </w:tcPr>
          <w:p>
            <w:pPr>
              <w:ind w:right="400"/>
              <w:jc w:val="right"/>
              <w:rPr>
                <w:rFonts w:hint="default"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cstheme="minorEastAsia"/>
                <w:color w:val="000000" w:themeColor="text1"/>
                <w:sz w:val="20"/>
                <w:szCs w:val="20"/>
                <w:lang w:val="en-US" w:eastAsia="zh-CN"/>
              </w:rPr>
              <w:t xml:space="preserve"> 2200.00</w:t>
            </w:r>
          </w:p>
        </w:tc>
      </w:tr>
      <w:tr>
        <w:tblPrEx>
          <w:tblCellMar>
            <w:top w:w="0" w:type="dxa"/>
            <w:left w:w="15" w:type="dxa"/>
            <w:bottom w:w="0" w:type="dxa"/>
            <w:right w:w="15" w:type="dxa"/>
          </w:tblCellMar>
        </w:tblPrEx>
        <w:trPr>
          <w:trHeight w:val="285" w:hRule="atLeast"/>
          <w:jc w:val="center"/>
        </w:trPr>
        <w:tc>
          <w:tcPr>
            <w:tcW w:w="669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lang w:eastAsia="zh-CN"/>
              </w:rPr>
              <w:t>收</w:t>
            </w:r>
            <w:r>
              <w:rPr>
                <w:rFonts w:hint="eastAsia" w:asciiTheme="minorEastAsia" w:hAnsiTheme="minorEastAsia" w:eastAsiaTheme="minorEastAsia" w:cstheme="minorEastAsia"/>
                <w:color w:val="000000" w:themeColor="text1"/>
                <w:sz w:val="20"/>
                <w:szCs w:val="20"/>
              </w:rPr>
              <w:t>银川市粮食局拨来粮食供应网点补助资金</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cstheme="minorEastAsia"/>
                <w:color w:val="000000" w:themeColor="text1"/>
                <w:sz w:val="20"/>
                <w:szCs w:val="20"/>
                <w:lang w:val="en-US" w:eastAsia="zh-CN"/>
              </w:rPr>
              <w:t>15000.00</w:t>
            </w:r>
          </w:p>
        </w:tc>
      </w:tr>
      <w:tr>
        <w:tblPrEx>
          <w:tblCellMar>
            <w:top w:w="0" w:type="dxa"/>
            <w:left w:w="15" w:type="dxa"/>
            <w:bottom w:w="0" w:type="dxa"/>
            <w:right w:w="15" w:type="dxa"/>
          </w:tblCellMar>
        </w:tblPrEx>
        <w:trPr>
          <w:trHeight w:val="285" w:hRule="atLeast"/>
          <w:jc w:val="center"/>
        </w:trPr>
        <w:tc>
          <w:tcPr>
            <w:tcW w:w="6698" w:type="dxa"/>
            <w:tcBorders>
              <w:top w:val="single" w:color="000000" w:sz="4" w:space="0"/>
              <w:left w:val="single" w:color="000000" w:sz="4" w:space="0"/>
              <w:bottom w:val="single" w:color="000000" w:sz="4" w:space="0"/>
              <w:right w:val="single" w:color="000000" w:sz="4" w:space="0"/>
            </w:tcBorders>
            <w:vAlign w:val="center"/>
          </w:tcPr>
          <w:p>
            <w:pPr>
              <w:tabs>
                <w:tab w:val="left" w:pos="1460"/>
              </w:tabs>
              <w:jc w:val="center"/>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合计</w:t>
            </w:r>
          </w:p>
        </w:tc>
        <w:tc>
          <w:tcPr>
            <w:tcW w:w="1260" w:type="dxa"/>
            <w:tcBorders>
              <w:top w:val="single" w:color="000000" w:sz="4" w:space="0"/>
              <w:left w:val="single" w:color="000000" w:sz="4" w:space="0"/>
              <w:bottom w:val="single" w:color="000000" w:sz="4" w:space="0"/>
              <w:right w:val="single" w:color="000000" w:sz="4" w:space="0"/>
            </w:tcBorders>
            <w:vAlign w:val="center"/>
          </w:tcPr>
          <w:p>
            <w:pPr>
              <w:ind w:firstLine="200" w:firstLineChars="100"/>
              <w:jc w:val="both"/>
              <w:rPr>
                <w:rFonts w:hint="default" w:asciiTheme="minorEastAsia" w:hAnsiTheme="minorEastAsia" w:eastAsiaTheme="minorEastAsia"/>
                <w:color w:val="000000" w:themeColor="text1"/>
                <w:sz w:val="20"/>
                <w:szCs w:val="20"/>
                <w:lang w:val="en-US" w:eastAsia="zh-CN"/>
              </w:rPr>
            </w:pPr>
            <w:r>
              <w:rPr>
                <w:rFonts w:hint="eastAsia" w:asciiTheme="minorEastAsia" w:hAnsiTheme="minorEastAsia"/>
                <w:color w:val="000000" w:themeColor="text1"/>
                <w:sz w:val="20"/>
                <w:szCs w:val="20"/>
                <w:lang w:val="en-US" w:eastAsia="zh-CN"/>
              </w:rPr>
              <w:t>165216.57</w:t>
            </w:r>
          </w:p>
        </w:tc>
      </w:tr>
    </w:tbl>
    <w:p>
      <w:pPr>
        <w:widowControl/>
        <w:rPr>
          <w:rFonts w:hint="eastAsia" w:ascii="仿宋_GB2312" w:hAnsi="sans-serif" w:eastAsia="仿宋_GB2312" w:cs="仿宋_GB2312"/>
          <w:color w:val="000000"/>
          <w:kern w:val="0"/>
          <w:sz w:val="24"/>
        </w:rPr>
      </w:pPr>
    </w:p>
    <w:p>
      <w:pPr>
        <w:widowControl/>
        <w:ind w:firstLine="480"/>
        <w:rPr>
          <w:rFonts w:hint="eastAsia" w:ascii="sans-serif" w:hAnsi="sans-serif" w:cs="sans-serif"/>
          <w:color w:val="000000"/>
          <w:szCs w:val="21"/>
        </w:rPr>
      </w:pPr>
    </w:p>
    <w:p>
      <w:pPr>
        <w:widowControl/>
        <w:numPr>
          <w:ilvl w:val="0"/>
          <w:numId w:val="2"/>
        </w:numPr>
        <w:ind w:firstLine="480"/>
        <w:rPr>
          <w:rFonts w:hint="eastAsia" w:ascii="仿宋_GB2312" w:hAnsi="sans-serif" w:eastAsia="仿宋_GB2312" w:cs="仿宋_GB2312"/>
          <w:color w:val="000000"/>
          <w:kern w:val="0"/>
          <w:sz w:val="24"/>
        </w:rPr>
      </w:pPr>
      <w:r>
        <w:rPr>
          <w:rFonts w:hint="eastAsia" w:ascii="仿宋_GB2312" w:hAnsi="sans-serif" w:eastAsia="仿宋_GB2312" w:cs="仿宋_GB2312"/>
          <w:color w:val="000000"/>
          <w:kern w:val="0"/>
          <w:sz w:val="24"/>
        </w:rPr>
        <w:t>年末结转和结余为负数的原因说明，包括单位财政拨款结转和结余、其他资金结转结余为负数的情况。</w:t>
      </w:r>
    </w:p>
    <w:p>
      <w:pPr>
        <w:widowControl/>
        <w:numPr>
          <w:ilvl w:val="0"/>
          <w:numId w:val="0"/>
        </w:numPr>
        <w:rPr>
          <w:rFonts w:hint="default" w:ascii="仿宋_GB2312" w:hAnsi="sans-serif" w:eastAsia="仿宋_GB2312" w:cs="仿宋_GB2312"/>
          <w:color w:val="000000"/>
          <w:kern w:val="0"/>
          <w:sz w:val="24"/>
          <w:lang w:val="en-US" w:eastAsia="zh-CN"/>
        </w:rPr>
      </w:pPr>
      <w:r>
        <w:rPr>
          <w:rFonts w:hint="eastAsia" w:ascii="仿宋_GB2312" w:hAnsi="sans-serif" w:eastAsia="仿宋_GB2312" w:cs="仿宋_GB2312"/>
          <w:color w:val="000000"/>
          <w:kern w:val="0"/>
          <w:sz w:val="24"/>
          <w:lang w:val="en-US" w:eastAsia="zh-CN"/>
        </w:rPr>
        <w:t xml:space="preserve">      我单位年末结转和结余不存在为负数的情况。</w:t>
      </w:r>
    </w:p>
    <w:p>
      <w:pPr>
        <w:widowControl/>
        <w:numPr>
          <w:ilvl w:val="0"/>
          <w:numId w:val="2"/>
        </w:numPr>
        <w:ind w:left="0" w:leftChars="0" w:firstLine="480" w:firstLineChars="0"/>
        <w:rPr>
          <w:rFonts w:hint="eastAsia" w:ascii="仿宋_GB2312" w:hAnsi="sans-serif" w:eastAsia="仿宋_GB2312" w:cs="仿宋_GB2312"/>
          <w:color w:val="000000"/>
          <w:kern w:val="0"/>
          <w:sz w:val="24"/>
        </w:rPr>
      </w:pPr>
      <w:r>
        <w:rPr>
          <w:rFonts w:hint="eastAsia" w:ascii="仿宋_GB2312" w:hAnsi="sans-serif" w:eastAsia="仿宋_GB2312" w:cs="仿宋_GB2312"/>
          <w:color w:val="000000"/>
          <w:kern w:val="0"/>
          <w:sz w:val="24"/>
        </w:rPr>
        <w:t>“项目支出决算明细表”中列支“工资福利支出”和“对个人和家庭的补助”的依据及说明。</w:t>
      </w:r>
    </w:p>
    <w:p>
      <w:pPr>
        <w:widowControl/>
        <w:numPr>
          <w:ilvl w:val="0"/>
          <w:numId w:val="0"/>
        </w:numPr>
        <w:ind w:left="480" w:leftChars="0"/>
        <w:rPr>
          <w:rFonts w:hint="eastAsia" w:ascii="仿宋_GB2312" w:hAnsi="sans-serif" w:eastAsia="仿宋_GB2312" w:cs="仿宋_GB2312"/>
          <w:color w:val="000000"/>
          <w:kern w:val="0"/>
          <w:sz w:val="24"/>
          <w:lang w:eastAsia="zh-CN"/>
        </w:rPr>
      </w:pPr>
      <w:r>
        <w:rPr>
          <w:rFonts w:hint="eastAsia" w:ascii="仿宋_GB2312" w:hAnsi="sans-serif" w:eastAsia="仿宋_GB2312" w:cs="仿宋_GB2312"/>
          <w:color w:val="000000"/>
          <w:kern w:val="0"/>
          <w:sz w:val="24"/>
          <w:lang w:val="en-US" w:eastAsia="zh-CN"/>
        </w:rPr>
        <w:t xml:space="preserve">   我单位不存在</w:t>
      </w:r>
      <w:r>
        <w:rPr>
          <w:rFonts w:hint="eastAsia" w:ascii="仿宋_GB2312" w:hAnsi="sans-serif" w:eastAsia="仿宋_GB2312" w:cs="仿宋_GB2312"/>
          <w:color w:val="000000"/>
          <w:kern w:val="0"/>
          <w:sz w:val="24"/>
        </w:rPr>
        <w:t>“项目支出决算明细表”中列支“工资福利支出”和“对个人和家庭的补助”</w:t>
      </w:r>
      <w:r>
        <w:rPr>
          <w:rFonts w:hint="eastAsia" w:ascii="仿宋_GB2312" w:hAnsi="sans-serif" w:eastAsia="仿宋_GB2312" w:cs="仿宋_GB2312"/>
          <w:color w:val="000000"/>
          <w:kern w:val="0"/>
          <w:sz w:val="24"/>
          <w:lang w:eastAsia="zh-CN"/>
        </w:rPr>
        <w:t>的情况。</w:t>
      </w:r>
    </w:p>
    <w:p>
      <w:pPr>
        <w:widowControl/>
        <w:numPr>
          <w:ilvl w:val="0"/>
          <w:numId w:val="2"/>
        </w:numPr>
        <w:ind w:left="0" w:leftChars="0" w:firstLine="480" w:firstLineChars="0"/>
        <w:rPr>
          <w:rFonts w:hint="eastAsia" w:ascii="仿宋_GB2312" w:hAnsi="sans-serif" w:eastAsia="仿宋_GB2312" w:cs="仿宋_GB2312"/>
          <w:color w:val="000000"/>
          <w:kern w:val="0"/>
          <w:sz w:val="24"/>
        </w:rPr>
      </w:pPr>
      <w:r>
        <w:rPr>
          <w:rFonts w:hint="eastAsia" w:ascii="仿宋_GB2312" w:hAnsi="sans-serif" w:eastAsia="仿宋_GB2312" w:cs="仿宋_GB2312"/>
          <w:color w:val="000000"/>
          <w:kern w:val="0"/>
          <w:sz w:val="24"/>
        </w:rPr>
        <w:t>“三公”经费总额及分项金额与年初预算数、上年决算数对比变动的原因说明，以及相关的公务用车购置及保有量、因公出国（境）团组数及人数和公务接待批次及人数等情况。</w:t>
      </w:r>
    </w:p>
    <w:p>
      <w:pPr>
        <w:widowControl/>
        <w:numPr>
          <w:ilvl w:val="0"/>
          <w:numId w:val="0"/>
        </w:numPr>
        <w:ind w:left="480" w:leftChars="0"/>
        <w:rPr>
          <w:rFonts w:hint="default" w:ascii="仿宋_GB2312" w:hAnsi="sans-serif" w:eastAsia="仿宋_GB2312" w:cs="仿宋_GB2312"/>
          <w:color w:val="000000"/>
          <w:kern w:val="0"/>
          <w:sz w:val="24"/>
          <w:lang w:val="en-US" w:eastAsia="zh-CN"/>
        </w:rPr>
      </w:pPr>
      <w:r>
        <w:rPr>
          <w:rFonts w:hint="eastAsia" w:ascii="仿宋_GB2312" w:hAnsi="sans-serif" w:eastAsia="仿宋_GB2312" w:cs="仿宋_GB2312"/>
          <w:color w:val="000000"/>
          <w:kern w:val="0"/>
          <w:sz w:val="24"/>
          <w:lang w:val="en-US" w:eastAsia="zh-CN"/>
        </w:rPr>
        <w:t xml:space="preserve">    我单位</w:t>
      </w:r>
      <w:r>
        <w:rPr>
          <w:rFonts w:hint="eastAsia" w:ascii="仿宋_GB2312" w:hAnsi="sans-serif" w:eastAsia="仿宋_GB2312" w:cs="仿宋_GB2312"/>
          <w:color w:val="000000"/>
          <w:kern w:val="0"/>
          <w:sz w:val="24"/>
        </w:rPr>
        <w:t>“三公”经费</w:t>
      </w:r>
      <w:r>
        <w:rPr>
          <w:rFonts w:hint="eastAsia" w:ascii="仿宋_GB2312" w:hAnsi="sans-serif" w:eastAsia="仿宋_GB2312" w:cs="仿宋_GB2312"/>
          <w:color w:val="000000"/>
          <w:kern w:val="0"/>
          <w:sz w:val="24"/>
          <w:lang w:eastAsia="zh-CN"/>
        </w:rPr>
        <w:t>年初预算为</w:t>
      </w:r>
      <w:r>
        <w:rPr>
          <w:rFonts w:hint="eastAsia" w:ascii="仿宋_GB2312" w:hAnsi="sans-serif" w:eastAsia="仿宋_GB2312" w:cs="仿宋_GB2312"/>
          <w:color w:val="000000"/>
          <w:kern w:val="0"/>
          <w:sz w:val="24"/>
          <w:lang w:val="en-US" w:eastAsia="zh-CN"/>
        </w:rPr>
        <w:t>0，本年执行为0，上年决算也为0.</w:t>
      </w:r>
    </w:p>
    <w:p>
      <w:pPr>
        <w:widowControl/>
        <w:numPr>
          <w:ilvl w:val="0"/>
          <w:numId w:val="0"/>
        </w:numPr>
        <w:ind w:left="480" w:leftChars="0"/>
        <w:rPr>
          <w:rFonts w:hint="eastAsia" w:ascii="sans-serif" w:hAnsi="sans-serif" w:cs="sans-serif"/>
          <w:color w:val="000000"/>
          <w:szCs w:val="21"/>
        </w:rPr>
      </w:pPr>
      <w:r>
        <w:rPr>
          <w:rFonts w:hint="eastAsia" w:ascii="仿宋_GB2312" w:hAnsi="sans-serif" w:eastAsia="仿宋_GB2312" w:cs="仿宋_GB2312"/>
          <w:color w:val="000000"/>
          <w:kern w:val="0"/>
          <w:sz w:val="24"/>
        </w:rPr>
        <w:t>5.行政单位、参照公务员法管理的事业单位机关运行经费支出情况，以及与上年数对比变动原因说明。</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6.政府采购支出情况，包括采购类型、采购规模和授予中小企业合同金额等。</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7.中央单位财政拨款结转和结余情况（附表4）。</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8.中央单位驻外机构有关情况（附表5、6）。</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9.住房公积金管理中心住房公积金业务收支情况（附表7）。</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10.“收入支出决算总表”中如调整预算数大于年初预算数，说明单位财政拨款预算和非财政拨款预算调整情况以及经审批或备案的文件依据。</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11.深化党和国家机构改革对决算编报相关方面的影响。</w:t>
      </w:r>
    </w:p>
    <w:p>
      <w:pPr>
        <w:widowControl/>
        <w:ind w:firstLine="480"/>
        <w:rPr>
          <w:rFonts w:hint="eastAsia" w:ascii="sans-serif" w:hAnsi="sans-serif" w:cs="sans-serif"/>
          <w:color w:val="000000"/>
          <w:szCs w:val="21"/>
        </w:rPr>
      </w:pPr>
      <w:r>
        <w:rPr>
          <w:rFonts w:hint="eastAsia" w:ascii="仿宋_GB2312" w:hAnsi="sans-serif" w:eastAsia="仿宋_GB2312" w:cs="仿宋_GB2312"/>
          <w:color w:val="000000"/>
          <w:kern w:val="0"/>
          <w:sz w:val="24"/>
        </w:rPr>
        <w:t>12.其他需要说明的问题。</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ans-serif">
    <w:altName w:val="Courier New"/>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31E0ED"/>
    <w:multiLevelType w:val="singleLevel"/>
    <w:tmpl w:val="F431E0ED"/>
    <w:lvl w:ilvl="0" w:tentative="0">
      <w:start w:val="2"/>
      <w:numFmt w:val="decimal"/>
      <w:lvlText w:val="%1."/>
      <w:lvlJc w:val="left"/>
      <w:pPr>
        <w:tabs>
          <w:tab w:val="left" w:pos="312"/>
        </w:tabs>
      </w:pPr>
    </w:lvl>
  </w:abstractNum>
  <w:abstractNum w:abstractNumId="1">
    <w:nsid w:val="7D3B92E0"/>
    <w:multiLevelType w:val="singleLevel"/>
    <w:tmpl w:val="7D3B92E0"/>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B0A5AD6"/>
    <w:rsid w:val="000F3EB4"/>
    <w:rsid w:val="00AD2927"/>
    <w:rsid w:val="0EC01483"/>
    <w:rsid w:val="14FA05A3"/>
    <w:rsid w:val="1EA00D53"/>
    <w:rsid w:val="1FFC157F"/>
    <w:rsid w:val="21DD2357"/>
    <w:rsid w:val="2510111F"/>
    <w:rsid w:val="29701564"/>
    <w:rsid w:val="2B0A5AD6"/>
    <w:rsid w:val="37DA3667"/>
    <w:rsid w:val="4FB64FBC"/>
    <w:rsid w:val="5BEB35CD"/>
    <w:rsid w:val="5CF85D50"/>
    <w:rsid w:val="5EE95876"/>
    <w:rsid w:val="62C425F8"/>
    <w:rsid w:val="659A1702"/>
    <w:rsid w:val="6657534C"/>
    <w:rsid w:val="7B703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仿宋_GB2312" w:hAnsi="宋体"/>
      <w:b/>
      <w:bCs/>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1855</Words>
  <Characters>189</Characters>
  <Lines>1</Lines>
  <Paragraphs>4</Paragraphs>
  <TotalTime>11</TotalTime>
  <ScaleCrop>false</ScaleCrop>
  <LinksUpToDate>false</LinksUpToDate>
  <CharactersWithSpaces>2040</CharactersWithSpaces>
  <Application>WPS Office_11.1.0.10314_F1E327BC-269C-435d-A152-05C5408002CA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2023-02-19T12:26:00Z</dcterms:created>
  <dc:creator>Administrator</dc:creator>
  <cp:lastModifiedBy>WPS_1174047704</cp:lastModifiedBy>
  <dcterms:modified xsi:type="dcterms:W3CDTF">2023-02-23T03:04:20Z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