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2023年</w:t>
      </w:r>
      <w:r>
        <w:rPr>
          <w:rFonts w:hint="eastAsia" w:ascii="方正小标宋简体" w:eastAsia="方正小标宋简体"/>
          <w:bCs/>
          <w:kern w:val="0"/>
          <w:sz w:val="52"/>
          <w:szCs w:val="52"/>
        </w:rPr>
        <w:t>度</w:t>
      </w:r>
    </w:p>
    <w:p>
      <w:pPr>
        <w:spacing w:before="100" w:beforeAutospacing="1" w:after="100" w:afterAutospacing="1" w:line="560" w:lineRule="exact"/>
        <w:ind w:firstLine="2080" w:firstLineChars="400"/>
        <w:jc w:val="both"/>
        <w:outlineLvl w:val="1"/>
        <w:rPr>
          <w:rFonts w:hint="eastAsia" w:ascii="方正小标宋简体" w:eastAsia="方正小标宋简体"/>
          <w:bCs/>
          <w:kern w:val="0"/>
          <w:sz w:val="52"/>
          <w:szCs w:val="52"/>
          <w:lang w:val="en-US" w:eastAsia="zh-CN"/>
        </w:rPr>
      </w:pPr>
      <w:r>
        <w:rPr>
          <w:rFonts w:hint="eastAsia" w:ascii="方正小标宋简体" w:eastAsia="方正小标宋简体"/>
          <w:bCs/>
          <w:kern w:val="0"/>
          <w:sz w:val="52"/>
          <w:szCs w:val="52"/>
          <w:lang w:val="en-US" w:eastAsia="zh-CN"/>
        </w:rPr>
        <w:t>金凤区发展和改革局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二、机构设置</w:t>
      </w:r>
      <w:r>
        <w:rPr>
          <w:rFonts w:hint="eastAsia" w:ascii="黑体" w:hAnsi="黑体" w:eastAsia="黑体"/>
          <w:kern w:val="0"/>
          <w:sz w:val="32"/>
          <w:szCs w:val="32"/>
          <w:lang w:val="en-US" w:eastAsia="zh-CN"/>
        </w:rPr>
        <w:t>····················1</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度部门决算表</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···················3</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···················4</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············5</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·········6</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·····7</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·········8</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······9</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九、国有资本经营预算财政拨款支出决算表·······10</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2023年</w:t>
      </w:r>
      <w:r>
        <w:rPr>
          <w:rFonts w:ascii="方正小标宋简体" w:eastAsia="方正小标宋简体"/>
          <w:kern w:val="0"/>
          <w:sz w:val="32"/>
          <w:szCs w:val="32"/>
        </w:rPr>
        <w:t>度部门决算情况说明</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············11</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················11</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················11</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········11</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···16</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·····17</w:t>
      </w:r>
    </w:p>
    <w:p>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···········17</w:t>
      </w:r>
    </w:p>
    <w:p>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·········17</w:t>
      </w:r>
    </w:p>
    <w:p>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widowControl/>
        <w:spacing w:line="560" w:lineRule="exact"/>
        <w:ind w:firstLine="640" w:firstLineChars="200"/>
        <w:jc w:val="left"/>
        <w:rPr>
          <w:rFonts w:hint="eastAsia" w:eastAsia="仿宋_GB2312"/>
          <w:bCs/>
          <w:kern w:val="0"/>
          <w:sz w:val="32"/>
          <w:szCs w:val="32"/>
        </w:rPr>
      </w:pPr>
      <w:r>
        <w:rPr>
          <w:rFonts w:hint="eastAsia" w:eastAsia="仿宋_GB2312"/>
          <w:bCs/>
          <w:kern w:val="0"/>
          <w:sz w:val="32"/>
          <w:szCs w:val="32"/>
        </w:rPr>
        <w:t>金凤区发展和改革局现有发展改革、粮食和物资储备、国防动员、军民融合、价格认证、信用建设、节能减排等职能。</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widowControl/>
        <w:spacing w:line="560" w:lineRule="exact"/>
        <w:ind w:firstLine="640" w:firstLineChars="200"/>
        <w:jc w:val="left"/>
        <w:rPr>
          <w:rFonts w:eastAsia="仿宋_GB2312"/>
          <w:kern w:val="0"/>
          <w:sz w:val="32"/>
          <w:szCs w:val="32"/>
        </w:rPr>
      </w:pPr>
      <w:r>
        <w:rPr>
          <w:rFonts w:hAnsi="仿宋_GB2312" w:eastAsia="仿宋_GB2312"/>
          <w:bCs/>
          <w:kern w:val="0"/>
          <w:sz w:val="32"/>
          <w:szCs w:val="32"/>
        </w:rPr>
        <w:t>对本部门（单位）及所属预算单位构成进行详细说明。如：</w:t>
      </w:r>
      <w:r>
        <w:rPr>
          <w:rFonts w:hAnsi="仿宋_GB2312" w:eastAsia="仿宋_GB2312"/>
          <w:kern w:val="0"/>
          <w:sz w:val="32"/>
          <w:szCs w:val="32"/>
        </w:rPr>
        <w:t>按照部门决算编报要求，纳入</w:t>
      </w:r>
      <w:r>
        <w:rPr>
          <w:rFonts w:hint="eastAsia" w:eastAsia="仿宋_GB2312"/>
          <w:kern w:val="0"/>
          <w:sz w:val="32"/>
          <w:szCs w:val="32"/>
          <w:lang w:val="en-US" w:eastAsia="zh-CN"/>
        </w:rPr>
        <w:t>金凤区发展和改革局</w:t>
      </w:r>
      <w:r>
        <w:rPr>
          <w:rFonts w:hint="eastAsia" w:eastAsia="仿宋_GB2312"/>
          <w:kern w:val="0"/>
          <w:sz w:val="32"/>
          <w:szCs w:val="32"/>
          <w:lang w:eastAsia="zh-CN"/>
        </w:rPr>
        <w:t>2023年</w:t>
      </w:r>
      <w:r>
        <w:rPr>
          <w:rFonts w:hAnsi="仿宋_GB2312" w:eastAsia="仿宋_GB2312"/>
          <w:kern w:val="0"/>
          <w:sz w:val="32"/>
          <w:szCs w:val="32"/>
        </w:rPr>
        <w:t>度部门决算编报范围的单位共</w:t>
      </w:r>
      <w:r>
        <w:rPr>
          <w:rFonts w:hint="eastAsia" w:eastAsia="仿宋_GB2312"/>
          <w:kern w:val="0"/>
          <w:sz w:val="32"/>
          <w:szCs w:val="32"/>
          <w:lang w:val="en-US" w:eastAsia="zh-CN"/>
        </w:rPr>
        <w:t>1</w:t>
      </w:r>
      <w:r>
        <w:rPr>
          <w:rFonts w:hAnsi="仿宋_GB2312" w:eastAsia="仿宋_GB2312"/>
          <w:kern w:val="0"/>
          <w:sz w:val="32"/>
          <w:szCs w:val="32"/>
        </w:rPr>
        <w:t>个，包括</w:t>
      </w:r>
      <w:r>
        <w:rPr>
          <w:rFonts w:hint="eastAsia" w:eastAsia="仿宋_GB2312"/>
          <w:kern w:val="0"/>
          <w:sz w:val="32"/>
          <w:szCs w:val="32"/>
          <w:lang w:val="en-US" w:eastAsia="zh-CN"/>
        </w:rPr>
        <w:t>1</w:t>
      </w:r>
      <w:r>
        <w:rPr>
          <w:rFonts w:hAnsi="仿宋_GB2312" w:eastAsia="仿宋_GB2312"/>
          <w:kern w:val="0"/>
          <w:sz w:val="32"/>
          <w:szCs w:val="32"/>
        </w:rPr>
        <w:t>个二级预算单位。</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10"/>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widowControl/>
              <w:jc w:val="left"/>
              <w:rPr>
                <w:rFonts w:hint="default" w:eastAsia="宋体"/>
                <w:color w:val="000000"/>
                <w:kern w:val="0"/>
                <w:sz w:val="20"/>
                <w:lang w:val="en-US" w:eastAsia="zh-CN"/>
              </w:rPr>
            </w:pPr>
            <w:r>
              <w:rPr>
                <w:color w:val="000000"/>
                <w:kern w:val="0"/>
                <w:sz w:val="24"/>
              </w:rPr>
              <w:t>公开部门：</w:t>
            </w:r>
            <w:r>
              <w:rPr>
                <w:rFonts w:hint="eastAsia"/>
                <w:color w:val="000000"/>
                <w:kern w:val="0"/>
                <w:sz w:val="24"/>
                <w:lang w:val="en-US" w:eastAsia="zh-CN"/>
              </w:rPr>
              <w:t>银川市金凤区发展和改革局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28630228.69</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3996188.44</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153870.15</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426803.31</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175002.21</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6450000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241053.92</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28784098.84</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28892047.88</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251915.56</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143966.52</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29036014.4</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29036014.4</w:t>
            </w:r>
          </w:p>
        </w:tc>
      </w:tr>
      <w:tr>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2023年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val="en-US" w:eastAsia="zh-CN"/>
              </w:rPr>
              <w:t>银川市金凤区发展和改革局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28,784,098.84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28,630,228.69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153,870.15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716,500.00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716,500.00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2160299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2220106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专项业务活动</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205,648.32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205,648.32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157,782.67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157,782.67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1,234,892.56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1,081,029.14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153,870.15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57,907.46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57,907.46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1,925,258.07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1,925,251.34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198,260.00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198,260.00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2011308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招商引资</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13,188.00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13,188.00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33,015.34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33,015.34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84,079.41</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84,079.41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42,793.92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42,793.92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61,773.09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61,773.09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p>
    <w:tbl>
      <w:tblPr>
        <w:tblStyle w:val="10"/>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银川市金凤区发展和改革局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28,892,047.88</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2,736,001.12</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42,793.92</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42,793.92</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2119999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其他节能环保支出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84,079.41</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84,079.41</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205,648.32</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205,648.32</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57,907.46</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57,907.46</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2060499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2160299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4,100,000.00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4,100,000.00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2169999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2,350,000.00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157,782.67</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157,782.67</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63,372.32</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63,372.32</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1,926,157.02</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1,926,157.02</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716,500.00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716,500.00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2220106</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专项业务活动</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198,260.00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198,260.00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2100410</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33,015.34</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33,015.34</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2011308</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招商引资</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13,188.00</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13,188.00</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1,340,343.42</w:t>
            </w:r>
          </w:p>
        </w:tc>
        <w:tc>
          <w:tcPr>
            <w:tcW w:w="182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1,340,343.42</w:t>
            </w:r>
          </w:p>
        </w:tc>
        <w:tc>
          <w:tcPr>
            <w:tcW w:w="11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653"/>
        <w:gridCol w:w="1612"/>
        <w:gridCol w:w="94"/>
        <w:gridCol w:w="865"/>
        <w:gridCol w:w="153"/>
        <w:gridCol w:w="1567"/>
      </w:tblGrid>
      <w:tr>
        <w:tblPrEx>
          <w:tblCellMar>
            <w:top w:w="0" w:type="dxa"/>
            <w:left w:w="108" w:type="dxa"/>
            <w:bottom w:w="0" w:type="dxa"/>
            <w:right w:w="108" w:type="dxa"/>
          </w:tblCellMar>
        </w:tblPrEx>
        <w:trPr>
          <w:trHeight w:val="267" w:hRule="atLeast"/>
        </w:trPr>
        <w:tc>
          <w:tcPr>
            <w:tcW w:w="14820" w:type="dxa"/>
            <w:gridSpan w:val="11"/>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银川市金凤区发展和改革局</w:t>
            </w:r>
          </w:p>
        </w:tc>
        <w:tc>
          <w:tcPr>
            <w:tcW w:w="518" w:type="dxa"/>
            <w:tcBorders>
              <w:top w:val="nil"/>
              <w:left w:val="nil"/>
              <w:bottom w:val="nil"/>
              <w:right w:val="nil"/>
            </w:tcBorders>
            <w:vAlign w:val="bottom"/>
          </w:tcPr>
          <w:p>
            <w:pPr>
              <w:rPr>
                <w:color w:val="000000"/>
                <w:kern w:val="0"/>
                <w:sz w:val="18"/>
                <w:szCs w:val="18"/>
              </w:rPr>
            </w:pPr>
          </w:p>
        </w:tc>
        <w:tc>
          <w:tcPr>
            <w:tcW w:w="1653" w:type="dxa"/>
            <w:tcBorders>
              <w:top w:val="nil"/>
              <w:left w:val="nil"/>
              <w:bottom w:val="nil"/>
              <w:right w:val="nil"/>
            </w:tcBorders>
            <w:vAlign w:val="bottom"/>
          </w:tcPr>
          <w:p/>
        </w:tc>
        <w:tc>
          <w:tcPr>
            <w:tcW w:w="1612" w:type="dxa"/>
            <w:tcBorders>
              <w:top w:val="nil"/>
              <w:left w:val="nil"/>
              <w:bottom w:val="nil"/>
              <w:right w:val="nil"/>
            </w:tcBorders>
            <w:vAlign w:val="bottom"/>
          </w:tcPr>
          <w:p>
            <w:pPr>
              <w:jc w:val="center"/>
              <w:rPr>
                <w:color w:val="000000"/>
                <w:kern w:val="0"/>
                <w:sz w:val="18"/>
                <w:szCs w:val="18"/>
              </w:rPr>
            </w:pPr>
          </w:p>
        </w:tc>
        <w:tc>
          <w:tcPr>
            <w:tcW w:w="959" w:type="dxa"/>
            <w:gridSpan w:val="2"/>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8"/>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6"/>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65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706"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01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6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612"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37"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28630228.69</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3736867.43</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3736867.43</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426803.31</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426803.31</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175002.21</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175002.21</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17000000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17000000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65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653"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6450000</w:t>
            </w:r>
          </w:p>
        </w:tc>
        <w:tc>
          <w:tcPr>
            <w:tcW w:w="1612"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6450000</w:t>
            </w:r>
          </w:p>
        </w:tc>
        <w:tc>
          <w:tcPr>
            <w:tcW w:w="1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241053.92</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241053.92</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28630228.69</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2598.82</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2598.82</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6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65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28632726.87</w:t>
            </w:r>
          </w:p>
        </w:tc>
        <w:tc>
          <w:tcPr>
            <w:tcW w:w="1612"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28632726.87</w:t>
            </w:r>
          </w:p>
        </w:tc>
        <w:tc>
          <w:tcPr>
            <w:tcW w:w="1112"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65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2"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2"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28632827.51</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28632827.51</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28632827.51</w:t>
            </w:r>
          </w:p>
        </w:tc>
        <w:tc>
          <w:tcPr>
            <w:tcW w:w="1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8" w:hRule="exact"/>
        </w:trPr>
        <w:tc>
          <w:tcPr>
            <w:tcW w:w="14820" w:type="dxa"/>
            <w:gridSpan w:val="11"/>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10"/>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val="en-US" w:eastAsia="zh-CN"/>
              </w:rPr>
              <w:t>银川市金凤区发展和改革局</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28,632,726.87</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2,735,994.39</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25,896,732.48</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84,079.41</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84,079.41</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198,260.00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198,260.00</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1,926,150.29</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1,926,150.29</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57,907.46</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57,907.46</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205,648.32</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205,648.32</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63,372.32</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63,372.32</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157,782.67</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157,782.67</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2100410</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33,015.34</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33,015.34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42,793.92</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42,793.92</w:t>
            </w:r>
          </w:p>
        </w:tc>
        <w:tc>
          <w:tcPr>
            <w:tcW w:w="2980"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2060499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100,000.00</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716,500.00</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716,500.00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2010499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1,081,029.14</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1,081,029.14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2169999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2,350,000.00</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2,350,000.00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招商引资</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13,188.00</w:t>
            </w:r>
          </w:p>
        </w:tc>
        <w:tc>
          <w:tcPr>
            <w:tcW w:w="3059"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13,188.00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2119999</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17,000,000.00</w:t>
            </w:r>
          </w:p>
        </w:tc>
        <w:tc>
          <w:tcPr>
            <w:tcW w:w="3059" w:type="dxa"/>
            <w:tcBorders>
              <w:top w:val="nil"/>
              <w:left w:val="nil"/>
              <w:bottom w:val="single" w:color="000000" w:sz="8"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17,000,000.00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2120199</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500,000.00</w:t>
            </w:r>
          </w:p>
        </w:tc>
        <w:tc>
          <w:tcPr>
            <w:tcW w:w="3059" w:type="dxa"/>
            <w:tcBorders>
              <w:top w:val="nil"/>
              <w:left w:val="nil"/>
              <w:bottom w:val="single" w:color="000000" w:sz="8"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500,000.00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2220106</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专项业务活动</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3,000.00</w:t>
            </w:r>
          </w:p>
        </w:tc>
        <w:tc>
          <w:tcPr>
            <w:tcW w:w="3059" w:type="dxa"/>
            <w:tcBorders>
              <w:top w:val="nil"/>
              <w:left w:val="nil"/>
              <w:bottom w:val="single" w:color="000000" w:sz="8"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3,000.00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2160299</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4,100,000.00</w:t>
            </w:r>
          </w:p>
        </w:tc>
        <w:tc>
          <w:tcPr>
            <w:tcW w:w="3059" w:type="dxa"/>
            <w:tcBorders>
              <w:top w:val="nil"/>
              <w:left w:val="nil"/>
              <w:bottom w:val="single" w:color="000000" w:sz="8" w:space="0"/>
              <w:right w:val="single" w:color="000000" w:sz="4" w:space="0"/>
            </w:tcBorders>
            <w:vAlign w:val="center"/>
          </w:tcPr>
          <w:p>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4,100,000.00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val="en-US" w:eastAsia="zh-CN"/>
              </w:rPr>
              <w:t>银川市金凤区发展和改革局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2353953.55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217336.17</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395152.29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6265</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600208.62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51"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206314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default" w:eastAsia="宋体"/>
                <w:color w:val="000000"/>
                <w:sz w:val="16"/>
                <w:szCs w:val="16"/>
                <w:lang w:val="en-US" w:eastAsia="zh-CN"/>
              </w:rPr>
            </w:pPr>
            <w:r>
              <w:rPr>
                <w:rFonts w:hint="eastAsia"/>
                <w:color w:val="000000"/>
                <w:sz w:val="16"/>
                <w:szCs w:val="16"/>
                <w:lang w:val="en-US" w:eastAsia="zh-CN"/>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default" w:eastAsia="宋体"/>
                <w:color w:val="000000"/>
                <w:sz w:val="16"/>
                <w:szCs w:val="16"/>
                <w:lang w:val="en-US" w:eastAsia="zh-CN"/>
              </w:rPr>
            </w:pPr>
            <w:r>
              <w:rPr>
                <w:rFonts w:hint="eastAsia"/>
                <w:color w:val="000000"/>
                <w:sz w:val="16"/>
                <w:szCs w:val="16"/>
                <w:lang w:val="en-US" w:eastAsia="zh-CN"/>
              </w:rPr>
              <w:t>0.00</w:t>
            </w:r>
          </w:p>
        </w:tc>
      </w:tr>
      <w:tr>
        <w:tblPrEx>
          <w:tblCellMar>
            <w:top w:w="15" w:type="dxa"/>
            <w:left w:w="15" w:type="dxa"/>
            <w:bottom w:w="15" w:type="dxa"/>
            <w:right w:w="15" w:type="dxa"/>
          </w:tblCellMar>
        </w:tblPrEx>
        <w:trPr>
          <w:trHeight w:val="325"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205648.32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69"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63372.32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1281.03</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84079.41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69"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57907.46</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6339.31</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549</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198260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520671.82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164704.67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5312</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157782.67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147101.64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10707.6</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40620</w:t>
            </w:r>
          </w:p>
        </w:tc>
        <w:tc>
          <w:tcPr>
            <w:tcW w:w="549"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pPr>
              <w:keepNext w:val="0"/>
              <w:keepLines w:val="0"/>
              <w:widowControl/>
              <w:suppressLineNumbers w:val="0"/>
              <w:jc w:val="right"/>
              <w:textAlignment w:val="center"/>
              <w:rPr>
                <w:color w:val="000000"/>
                <w:sz w:val="16"/>
                <w:szCs w:val="16"/>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5055.9</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424"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2518658.22</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217336.17</w:t>
            </w:r>
          </w:p>
        </w:tc>
      </w:tr>
      <w:tr>
        <w:tblPrEx>
          <w:tblCellMar>
            <w:top w:w="15" w:type="dxa"/>
            <w:left w:w="15" w:type="dxa"/>
            <w:bottom w:w="15" w:type="dxa"/>
            <w:right w:w="15" w:type="dxa"/>
          </w:tblCellMar>
        </w:tblPrEx>
        <w:trPr>
          <w:trHeight w:val="338"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1437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2735994.39</w:t>
                  </w:r>
                </w:p>
              </w:tc>
            </w:tr>
          </w:tbl>
          <w:p>
            <w:pPr>
              <w:spacing w:line="160" w:lineRule="exact"/>
              <w:jc w:val="right"/>
              <w:rPr>
                <w:color w:val="000000"/>
                <w:sz w:val="16"/>
                <w:szCs w:val="16"/>
              </w:rPr>
            </w:pP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val="en-US" w:eastAsia="zh-CN"/>
              </w:rPr>
              <w:t>银川市金凤区发展和改革局</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8"/>
                <w:rFonts w:hint="eastAsia"/>
                <w:lang w:eastAsia="zh-CN"/>
              </w:rPr>
              <w:t>2023年</w:t>
            </w:r>
            <w:r>
              <w:rPr>
                <w:rFonts w:hint="eastAsia" w:ascii="宋体" w:hAnsi="宋体" w:cs="宋体"/>
                <w:color w:val="000000"/>
                <w:kern w:val="0"/>
                <w:sz w:val="20"/>
                <w:szCs w:val="20"/>
              </w:rPr>
              <w:t>度预算数为</w:t>
            </w:r>
            <w:r>
              <w:rPr>
                <w:rStyle w:val="28"/>
              </w:rPr>
              <w:t>“</w:t>
            </w:r>
            <w:r>
              <w:rPr>
                <w:rFonts w:hint="eastAsia" w:ascii="宋体" w:hAnsi="宋体" w:cs="宋体"/>
                <w:color w:val="000000"/>
                <w:kern w:val="0"/>
                <w:sz w:val="20"/>
                <w:szCs w:val="20"/>
              </w:rPr>
              <w:t>三公</w:t>
            </w:r>
            <w:r>
              <w:rPr>
                <w:rStyle w:val="28"/>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8"/>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银川市金凤区发展和改革局</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10"/>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4"/>
                <w:lang w:val="en-US" w:eastAsia="zh-CN"/>
              </w:rPr>
              <w:t>银川市金凤区发展和改革局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pgNumType w:fmt="decimal"/>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2023年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2023年</w:t>
      </w:r>
      <w:r>
        <w:rPr>
          <w:rFonts w:hint="eastAsia" w:ascii="仿宋_GB2312" w:hAnsi="仿宋_GB2312" w:eastAsia="仿宋_GB2312" w:cs="仿宋_GB2312"/>
          <w:color w:val="auto"/>
          <w:kern w:val="0"/>
          <w:sz w:val="32"/>
          <w:szCs w:val="32"/>
        </w:rPr>
        <w:t>度收入总计</w:t>
      </w:r>
      <w:r>
        <w:rPr>
          <w:rFonts w:hint="eastAsia" w:ascii="仿宋_GB2312" w:hAnsi="仿宋_GB2312" w:eastAsia="仿宋_GB2312" w:cs="仿宋_GB2312"/>
          <w:color w:val="auto"/>
          <w:kern w:val="0"/>
          <w:sz w:val="32"/>
          <w:szCs w:val="32"/>
          <w:lang w:val="en-US" w:eastAsia="zh-CN"/>
        </w:rPr>
        <w:t>29036014.4</w:t>
      </w:r>
      <w:r>
        <w:rPr>
          <w:rFonts w:hint="eastAsia" w:ascii="仿宋_GB2312" w:hAnsi="仿宋_GB2312" w:eastAsia="仿宋_GB2312" w:cs="仿宋_GB2312"/>
          <w:color w:val="auto"/>
          <w:kern w:val="0"/>
          <w:sz w:val="32"/>
          <w:szCs w:val="32"/>
        </w:rPr>
        <w:t>元，支出总计</w:t>
      </w:r>
      <w:r>
        <w:rPr>
          <w:rFonts w:hint="eastAsia" w:ascii="仿宋_GB2312" w:hAnsi="仿宋_GB2312" w:eastAsia="仿宋_GB2312" w:cs="仿宋_GB2312"/>
          <w:color w:val="auto"/>
          <w:kern w:val="0"/>
          <w:sz w:val="32"/>
          <w:szCs w:val="32"/>
          <w:lang w:val="en-US" w:eastAsia="zh-CN"/>
        </w:rPr>
        <w:t>29036014.4</w:t>
      </w:r>
      <w:r>
        <w:rPr>
          <w:rFonts w:hint="eastAsia" w:ascii="仿宋_GB2312" w:hAnsi="仿宋_GB2312" w:eastAsia="仿宋_GB2312" w:cs="仿宋_GB2312"/>
          <w:color w:val="auto"/>
          <w:kern w:val="0"/>
          <w:sz w:val="32"/>
          <w:szCs w:val="32"/>
        </w:rPr>
        <w:t>元。与上年相比，收</w:t>
      </w:r>
      <w:r>
        <w:rPr>
          <w:rFonts w:hint="eastAsia" w:ascii="仿宋_GB2312" w:hAnsi="仿宋_GB2312" w:eastAsia="仿宋_GB2312" w:cs="仿宋_GB2312"/>
          <w:color w:val="auto"/>
          <w:kern w:val="0"/>
          <w:sz w:val="32"/>
          <w:szCs w:val="32"/>
          <w:lang w:val="en-US" w:eastAsia="zh-CN"/>
        </w:rPr>
        <w:t>入增加16573941.46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上升132.99%</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sz w:val="32"/>
          <w:szCs w:val="32"/>
          <w:lang w:val="en-US" w:eastAsia="zh-CN"/>
        </w:rPr>
        <w:t>市专项资金较上年</w:t>
      </w:r>
      <w:r>
        <w:rPr>
          <w:rFonts w:hint="eastAsia" w:ascii="仿宋_GB2312" w:hAnsi="仿宋_GB2312" w:eastAsia="仿宋_GB2312" w:cs="仿宋_GB2312"/>
          <w:color w:val="auto"/>
          <w:kern w:val="0"/>
          <w:sz w:val="32"/>
          <w:szCs w:val="32"/>
          <w:lang w:val="en-US" w:eastAsia="zh-CN"/>
        </w:rPr>
        <w:t>争取的较多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kern w:val="0"/>
          <w:sz w:val="32"/>
          <w:szCs w:val="32"/>
          <w:lang w:val="en-US" w:eastAsia="zh-CN"/>
        </w:rPr>
        <w:t>增加16573941.46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上升132.99</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sz w:val="32"/>
          <w:szCs w:val="32"/>
          <w:lang w:val="en-US" w:eastAsia="zh-CN"/>
        </w:rPr>
        <w:t>市专项资金较上年</w:t>
      </w:r>
      <w:r>
        <w:rPr>
          <w:rFonts w:hint="eastAsia" w:ascii="仿宋_GB2312" w:hAnsi="仿宋_GB2312" w:eastAsia="仿宋_GB2312" w:cs="仿宋_GB2312"/>
          <w:color w:val="auto"/>
          <w:kern w:val="0"/>
          <w:sz w:val="32"/>
          <w:szCs w:val="32"/>
          <w:lang w:val="en-US" w:eastAsia="zh-CN"/>
        </w:rPr>
        <w:t>争取的减少，支出随之增加</w:t>
      </w:r>
      <w:r>
        <w:rPr>
          <w:rFonts w:hint="eastAsia" w:ascii="仿宋_GB2312" w:hAnsi="仿宋_GB2312" w:eastAsia="仿宋_GB2312" w:cs="仿宋_GB2312"/>
          <w:color w:val="auto"/>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2023年度收入合计</w:t>
      </w:r>
      <w:r>
        <w:rPr>
          <w:rFonts w:hint="eastAsia" w:ascii="仿宋_GB2312" w:hAnsi="仿宋_GB2312" w:eastAsia="仿宋_GB2312" w:cs="仿宋_GB2312"/>
          <w:color w:val="auto"/>
          <w:kern w:val="0"/>
          <w:sz w:val="32"/>
          <w:szCs w:val="32"/>
          <w:lang w:val="en-US" w:eastAsia="zh-CN"/>
        </w:rPr>
        <w:t>28784098.84</w:t>
      </w:r>
      <w:r>
        <w:rPr>
          <w:rFonts w:hint="eastAsia" w:ascii="仿宋_GB2312" w:hAnsi="仿宋_GB2312" w:eastAsia="仿宋_GB2312" w:cs="仿宋_GB2312"/>
          <w:color w:val="auto"/>
          <w:kern w:val="0"/>
          <w:sz w:val="32"/>
          <w:szCs w:val="32"/>
          <w:lang w:eastAsia="zh-CN"/>
        </w:rPr>
        <w:t>元，其中：财政拨款收入</w:t>
      </w:r>
      <w:r>
        <w:rPr>
          <w:rFonts w:hint="eastAsia" w:ascii="仿宋_GB2312" w:hAnsi="仿宋_GB2312" w:eastAsia="仿宋_GB2312" w:cs="仿宋_GB2312"/>
          <w:color w:val="auto"/>
          <w:kern w:val="0"/>
          <w:sz w:val="32"/>
          <w:szCs w:val="32"/>
          <w:lang w:val="en-US" w:eastAsia="zh-CN"/>
        </w:rPr>
        <w:t>28630228.69</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99.47</w:t>
      </w:r>
      <w:r>
        <w:rPr>
          <w:rFonts w:hint="eastAsia" w:ascii="仿宋_GB2312" w:hAnsi="仿宋_GB2312" w:eastAsia="仿宋_GB2312" w:cs="仿宋_GB2312"/>
          <w:color w:val="auto"/>
          <w:kern w:val="0"/>
          <w:sz w:val="32"/>
          <w:szCs w:val="32"/>
          <w:lang w:eastAsia="zh-CN"/>
        </w:rPr>
        <w:t>%；上级补助收入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%；事业收入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%；经营收入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%；附属单位上缴收入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%；其他收入</w:t>
      </w:r>
      <w:r>
        <w:rPr>
          <w:rFonts w:hint="eastAsia" w:ascii="仿宋_GB2312" w:hAnsi="仿宋_GB2312" w:eastAsia="仿宋_GB2312" w:cs="仿宋_GB2312"/>
          <w:color w:val="auto"/>
          <w:kern w:val="0"/>
          <w:sz w:val="32"/>
          <w:szCs w:val="32"/>
          <w:lang w:val="en-US" w:eastAsia="zh-CN"/>
        </w:rPr>
        <w:t>153870.15</w:t>
      </w:r>
      <w:r>
        <w:rPr>
          <w:rFonts w:hint="eastAsia" w:ascii="仿宋_GB2312" w:hAnsi="仿宋_GB2312" w:eastAsia="仿宋_GB2312" w:cs="仿宋_GB2312"/>
          <w:color w:val="auto"/>
          <w:kern w:val="0"/>
          <w:sz w:val="32"/>
          <w:szCs w:val="32"/>
          <w:lang w:eastAsia="zh-CN"/>
        </w:rPr>
        <w:t>元，占收入的</w:t>
      </w:r>
      <w:r>
        <w:rPr>
          <w:rFonts w:hint="eastAsia" w:ascii="仿宋_GB2312" w:hAnsi="仿宋_GB2312" w:eastAsia="仿宋_GB2312" w:cs="仿宋_GB2312"/>
          <w:color w:val="auto"/>
          <w:kern w:val="0"/>
          <w:sz w:val="32"/>
          <w:szCs w:val="32"/>
          <w:lang w:val="en-US" w:eastAsia="zh-CN"/>
        </w:rPr>
        <w:t>0.53</w:t>
      </w:r>
      <w:r>
        <w:rPr>
          <w:rFonts w:hint="eastAsia" w:ascii="仿宋_GB2312" w:hAnsi="仿宋_GB2312" w:eastAsia="仿宋_GB2312" w:cs="仿宋_GB2312"/>
          <w:color w:val="auto"/>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537" w:firstLineChars="168"/>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2023年度支出合计</w:t>
      </w:r>
      <w:r>
        <w:rPr>
          <w:rFonts w:hint="eastAsia" w:ascii="仿宋_GB2312" w:hAnsi="仿宋_GB2312" w:eastAsia="仿宋_GB2312" w:cs="仿宋_GB2312"/>
          <w:color w:val="auto"/>
          <w:kern w:val="0"/>
          <w:sz w:val="32"/>
          <w:szCs w:val="32"/>
          <w:lang w:val="en-US" w:eastAsia="zh-CN"/>
        </w:rPr>
        <w:t>28892047.88</w:t>
      </w:r>
      <w:r>
        <w:rPr>
          <w:rFonts w:hint="eastAsia" w:ascii="仿宋_GB2312" w:hAnsi="仿宋_GB2312" w:eastAsia="仿宋_GB2312" w:cs="仿宋_GB2312"/>
          <w:color w:val="auto"/>
          <w:kern w:val="0"/>
          <w:sz w:val="32"/>
          <w:szCs w:val="32"/>
          <w:lang w:eastAsia="zh-CN"/>
        </w:rPr>
        <w:t>元，其中：基本支出</w:t>
      </w:r>
      <w:r>
        <w:rPr>
          <w:rFonts w:hint="eastAsia" w:ascii="仿宋_GB2312" w:hAnsi="仿宋_GB2312" w:eastAsia="仿宋_GB2312" w:cs="仿宋_GB2312"/>
          <w:color w:val="auto"/>
          <w:kern w:val="0"/>
          <w:sz w:val="32"/>
          <w:szCs w:val="32"/>
          <w:lang w:val="en-US" w:eastAsia="zh-CN"/>
        </w:rPr>
        <w:t>2736001.12</w:t>
      </w:r>
      <w:r>
        <w:rPr>
          <w:rFonts w:hint="eastAsia" w:ascii="仿宋_GB2312" w:hAnsi="仿宋_GB2312" w:eastAsia="仿宋_GB2312" w:cs="仿宋_GB2312"/>
          <w:color w:val="auto"/>
          <w:kern w:val="0"/>
          <w:sz w:val="32"/>
          <w:szCs w:val="32"/>
          <w:lang w:eastAsia="zh-CN"/>
        </w:rPr>
        <w:t>元，占支出的</w:t>
      </w:r>
      <w:r>
        <w:rPr>
          <w:rFonts w:hint="eastAsia" w:ascii="仿宋_GB2312" w:hAnsi="仿宋_GB2312" w:eastAsia="仿宋_GB2312" w:cs="仿宋_GB2312"/>
          <w:color w:val="auto"/>
          <w:kern w:val="0"/>
          <w:sz w:val="32"/>
          <w:szCs w:val="32"/>
          <w:lang w:val="en-US" w:eastAsia="zh-CN"/>
        </w:rPr>
        <w:t>9.47</w:t>
      </w:r>
      <w:r>
        <w:rPr>
          <w:rFonts w:hint="eastAsia" w:ascii="仿宋_GB2312" w:hAnsi="仿宋_GB2312" w:eastAsia="仿宋_GB2312" w:cs="仿宋_GB2312"/>
          <w:color w:val="auto"/>
          <w:kern w:val="0"/>
          <w:sz w:val="32"/>
          <w:szCs w:val="32"/>
          <w:lang w:eastAsia="zh-CN"/>
        </w:rPr>
        <w:t>%；项目支出</w:t>
      </w:r>
      <w:r>
        <w:rPr>
          <w:rFonts w:hint="eastAsia" w:ascii="仿宋_GB2312" w:hAnsi="仿宋_GB2312" w:eastAsia="仿宋_GB2312" w:cs="仿宋_GB2312"/>
          <w:color w:val="auto"/>
          <w:kern w:val="0"/>
          <w:sz w:val="32"/>
          <w:szCs w:val="32"/>
          <w:lang w:val="en-US" w:eastAsia="zh-CN"/>
        </w:rPr>
        <w:t>26156046.76</w:t>
      </w:r>
      <w:r>
        <w:rPr>
          <w:rFonts w:hint="eastAsia" w:ascii="仿宋_GB2312" w:hAnsi="仿宋_GB2312" w:eastAsia="仿宋_GB2312" w:cs="仿宋_GB2312"/>
          <w:color w:val="auto"/>
          <w:kern w:val="0"/>
          <w:sz w:val="32"/>
          <w:szCs w:val="32"/>
          <w:lang w:eastAsia="zh-CN"/>
        </w:rPr>
        <w:t>元，占支出的</w:t>
      </w:r>
      <w:r>
        <w:rPr>
          <w:rFonts w:hint="eastAsia" w:ascii="仿宋_GB2312" w:hAnsi="仿宋_GB2312" w:eastAsia="仿宋_GB2312" w:cs="仿宋_GB2312"/>
          <w:color w:val="auto"/>
          <w:kern w:val="0"/>
          <w:sz w:val="32"/>
          <w:szCs w:val="32"/>
          <w:lang w:val="en-US" w:eastAsia="zh-CN"/>
        </w:rPr>
        <w:t>90.53</w:t>
      </w:r>
      <w:r>
        <w:rPr>
          <w:rFonts w:hint="eastAsia" w:ascii="仿宋_GB2312" w:hAnsi="仿宋_GB2312" w:eastAsia="仿宋_GB2312" w:cs="仿宋_GB2312"/>
          <w:color w:val="auto"/>
          <w:kern w:val="0"/>
          <w:sz w:val="32"/>
          <w:szCs w:val="32"/>
          <w:lang w:eastAsia="zh-CN"/>
        </w:rPr>
        <w:t>%；上缴上级支出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元，占支出的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%；经营支出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元，占支出的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%；对附属单位补助支出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元，占支出的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537" w:firstLineChars="168"/>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2023年度财政拨款收入总计</w:t>
      </w:r>
      <w:r>
        <w:rPr>
          <w:rFonts w:hint="eastAsia" w:ascii="仿宋_GB2312" w:hAnsi="仿宋_GB2312" w:eastAsia="仿宋_GB2312" w:cs="仿宋_GB2312"/>
          <w:color w:val="auto"/>
          <w:kern w:val="0"/>
          <w:sz w:val="32"/>
          <w:szCs w:val="32"/>
          <w:lang w:val="en-US" w:eastAsia="zh-CN"/>
        </w:rPr>
        <w:t>28630228.69</w:t>
      </w:r>
      <w:r>
        <w:rPr>
          <w:rFonts w:hint="eastAsia" w:ascii="仿宋_GB2312" w:hAnsi="仿宋_GB2312" w:eastAsia="仿宋_GB2312" w:cs="仿宋_GB2312"/>
          <w:color w:val="auto"/>
          <w:kern w:val="0"/>
          <w:sz w:val="32"/>
          <w:szCs w:val="32"/>
          <w:lang w:eastAsia="zh-CN"/>
        </w:rPr>
        <w:t>元，同比减少</w:t>
      </w:r>
      <w:r>
        <w:rPr>
          <w:rFonts w:hint="eastAsia" w:ascii="仿宋_GB2312" w:hAnsi="仿宋_GB2312" w:eastAsia="仿宋_GB2312" w:cs="仿宋_GB2312"/>
          <w:color w:val="auto"/>
          <w:kern w:val="0"/>
          <w:sz w:val="32"/>
          <w:szCs w:val="32"/>
          <w:lang w:val="en-US" w:eastAsia="zh-CN"/>
        </w:rPr>
        <w:t>16510373.7</w:t>
      </w:r>
      <w:r>
        <w:rPr>
          <w:rFonts w:hint="eastAsia" w:ascii="仿宋_GB2312" w:hAnsi="仿宋_GB2312" w:eastAsia="仿宋_GB2312" w:cs="仿宋_GB2312"/>
          <w:color w:val="auto"/>
          <w:kern w:val="0"/>
          <w:sz w:val="32"/>
          <w:szCs w:val="32"/>
          <w:lang w:eastAsia="zh-CN"/>
        </w:rPr>
        <w:t>元，下降</w:t>
      </w:r>
      <w:r>
        <w:rPr>
          <w:rFonts w:hint="eastAsia" w:ascii="仿宋_GB2312" w:hAnsi="仿宋_GB2312" w:eastAsia="仿宋_GB2312" w:cs="仿宋_GB2312"/>
          <w:color w:val="auto"/>
          <w:kern w:val="0"/>
          <w:sz w:val="32"/>
          <w:szCs w:val="32"/>
          <w:lang w:val="en-US" w:eastAsia="zh-CN"/>
        </w:rPr>
        <w:t>136.23</w:t>
      </w:r>
      <w:r>
        <w:rPr>
          <w:rFonts w:hint="eastAsia" w:ascii="仿宋_GB2312" w:hAnsi="仿宋_GB2312" w:eastAsia="仿宋_GB2312" w:cs="仿宋_GB2312"/>
          <w:color w:val="auto"/>
          <w:kern w:val="0"/>
          <w:sz w:val="32"/>
          <w:szCs w:val="32"/>
          <w:lang w:eastAsia="zh-CN"/>
        </w:rPr>
        <w:t>%；支出总计</w:t>
      </w:r>
      <w:r>
        <w:rPr>
          <w:rFonts w:hint="eastAsia" w:ascii="仿宋_GB2312" w:hAnsi="仿宋_GB2312" w:eastAsia="仿宋_GB2312" w:cs="仿宋_GB2312"/>
          <w:color w:val="auto"/>
          <w:kern w:val="0"/>
          <w:sz w:val="32"/>
          <w:szCs w:val="32"/>
          <w:lang w:val="en-US" w:eastAsia="zh-CN"/>
        </w:rPr>
        <w:t>28632726.87</w:t>
      </w:r>
      <w:r>
        <w:rPr>
          <w:rFonts w:hint="eastAsia" w:ascii="仿宋_GB2312" w:hAnsi="仿宋_GB2312" w:eastAsia="仿宋_GB2312" w:cs="仿宋_GB2312"/>
          <w:color w:val="auto"/>
          <w:kern w:val="0"/>
          <w:sz w:val="32"/>
          <w:szCs w:val="32"/>
          <w:lang w:eastAsia="zh-CN"/>
        </w:rPr>
        <w:t>元，同比减少</w:t>
      </w:r>
      <w:r>
        <w:rPr>
          <w:rFonts w:hint="eastAsia" w:ascii="仿宋_GB2312" w:hAnsi="仿宋_GB2312" w:eastAsia="仿宋_GB2312" w:cs="仿宋_GB2312"/>
          <w:color w:val="auto"/>
          <w:kern w:val="0"/>
          <w:sz w:val="32"/>
          <w:szCs w:val="32"/>
          <w:lang w:val="en-US" w:eastAsia="zh-CN"/>
        </w:rPr>
        <w:t>16515863.45</w:t>
      </w:r>
      <w:r>
        <w:rPr>
          <w:rFonts w:hint="eastAsia" w:ascii="仿宋_GB2312" w:hAnsi="仿宋_GB2312" w:eastAsia="仿宋_GB2312" w:cs="仿宋_GB2312"/>
          <w:color w:val="auto"/>
          <w:kern w:val="0"/>
          <w:sz w:val="32"/>
          <w:szCs w:val="32"/>
          <w:lang w:eastAsia="zh-CN"/>
        </w:rPr>
        <w:t>元，下降</w:t>
      </w:r>
      <w:r>
        <w:rPr>
          <w:rFonts w:hint="eastAsia" w:ascii="仿宋_GB2312" w:hAnsi="仿宋_GB2312" w:eastAsia="仿宋_GB2312" w:cs="仿宋_GB2312"/>
          <w:color w:val="auto"/>
          <w:kern w:val="0"/>
          <w:sz w:val="32"/>
          <w:szCs w:val="32"/>
          <w:lang w:val="en-US" w:eastAsia="zh-CN"/>
        </w:rPr>
        <w:t>136.30</w:t>
      </w:r>
      <w:r>
        <w:rPr>
          <w:rFonts w:hint="eastAsia" w:ascii="仿宋_GB2312" w:hAnsi="仿宋_GB2312" w:eastAsia="仿宋_GB2312" w:cs="仿宋_GB2312"/>
          <w:color w:val="auto"/>
          <w:kern w:val="0"/>
          <w:sz w:val="32"/>
          <w:szCs w:val="32"/>
          <w:lang w:eastAsia="zh-CN"/>
        </w:rPr>
        <w:t>%。主要原因是</w:t>
      </w:r>
      <w:r>
        <w:rPr>
          <w:rFonts w:hint="eastAsia" w:ascii="仿宋_GB2312" w:hAnsi="仿宋_GB2312" w:eastAsia="仿宋_GB2312" w:cs="仿宋_GB2312"/>
          <w:color w:val="auto"/>
          <w:kern w:val="0"/>
          <w:sz w:val="32"/>
          <w:szCs w:val="32"/>
          <w:lang w:val="en-US" w:eastAsia="zh-CN"/>
        </w:rPr>
        <w:t>区市专项资金较上年争取的减少</w:t>
      </w:r>
      <w:r>
        <w:rPr>
          <w:rFonts w:hint="eastAsia" w:ascii="仿宋_GB2312" w:hAnsi="仿宋_GB2312" w:eastAsia="仿宋_GB2312" w:cs="仿宋_GB2312"/>
          <w:color w:val="auto"/>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537" w:firstLineChars="168"/>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2023年度一般公共预算财政拨款支出</w:t>
      </w:r>
      <w:r>
        <w:rPr>
          <w:rFonts w:hint="eastAsia" w:ascii="仿宋_GB2312" w:hAnsi="仿宋_GB2312" w:eastAsia="仿宋_GB2312" w:cs="仿宋_GB2312"/>
          <w:color w:val="auto"/>
          <w:kern w:val="0"/>
          <w:sz w:val="32"/>
          <w:szCs w:val="32"/>
          <w:lang w:val="en-US" w:eastAsia="zh-CN"/>
        </w:rPr>
        <w:t>28632726.87</w:t>
      </w:r>
      <w:r>
        <w:rPr>
          <w:rFonts w:hint="eastAsia" w:ascii="仿宋_GB2312" w:hAnsi="仿宋_GB2312" w:eastAsia="仿宋_GB2312" w:cs="仿宋_GB2312"/>
          <w:color w:val="auto"/>
          <w:kern w:val="0"/>
          <w:sz w:val="32"/>
          <w:szCs w:val="32"/>
          <w:lang w:eastAsia="zh-CN"/>
        </w:rPr>
        <w:t>元，占本年支出合计的</w:t>
      </w:r>
      <w:r>
        <w:rPr>
          <w:rFonts w:hint="eastAsia" w:ascii="仿宋_GB2312" w:hAnsi="仿宋_GB2312" w:eastAsia="仿宋_GB2312" w:cs="仿宋_GB2312"/>
          <w:color w:val="auto"/>
          <w:kern w:val="0"/>
          <w:sz w:val="32"/>
          <w:szCs w:val="32"/>
          <w:lang w:val="en-US" w:eastAsia="zh-CN"/>
        </w:rPr>
        <w:t>99.10</w:t>
      </w:r>
      <w:r>
        <w:rPr>
          <w:rFonts w:hint="eastAsia" w:ascii="仿宋_GB2312" w:hAnsi="仿宋_GB2312" w:eastAsia="仿宋_GB2312" w:cs="仿宋_GB2312"/>
          <w:color w:val="auto"/>
          <w:kern w:val="0"/>
          <w:sz w:val="32"/>
          <w:szCs w:val="32"/>
          <w:lang w:eastAsia="zh-CN"/>
        </w:rPr>
        <w:t>%。与上年相比，一般公共预算财政拨款支出减少</w:t>
      </w:r>
      <w:r>
        <w:rPr>
          <w:rFonts w:hint="eastAsia" w:ascii="仿宋_GB2312" w:hAnsi="仿宋_GB2312" w:eastAsia="仿宋_GB2312" w:cs="仿宋_GB2312"/>
          <w:color w:val="auto"/>
          <w:kern w:val="0"/>
          <w:sz w:val="32"/>
          <w:szCs w:val="32"/>
          <w:lang w:val="en-US" w:eastAsia="zh-CN"/>
        </w:rPr>
        <w:t>16512871.97</w:t>
      </w:r>
      <w:r>
        <w:rPr>
          <w:rFonts w:hint="eastAsia" w:ascii="仿宋_GB2312" w:hAnsi="仿宋_GB2312" w:eastAsia="仿宋_GB2312" w:cs="仿宋_GB2312"/>
          <w:color w:val="auto"/>
          <w:kern w:val="0"/>
          <w:sz w:val="32"/>
          <w:szCs w:val="32"/>
          <w:lang w:eastAsia="zh-CN"/>
        </w:rPr>
        <w:t>元，下降</w:t>
      </w:r>
      <w:r>
        <w:rPr>
          <w:rFonts w:hint="eastAsia" w:ascii="仿宋_GB2312" w:hAnsi="仿宋_GB2312" w:eastAsia="仿宋_GB2312" w:cs="仿宋_GB2312"/>
          <w:color w:val="auto"/>
          <w:kern w:val="0"/>
          <w:sz w:val="32"/>
          <w:szCs w:val="32"/>
          <w:lang w:val="en-US" w:eastAsia="zh-CN"/>
        </w:rPr>
        <w:t>136.25</w:t>
      </w:r>
      <w:r>
        <w:rPr>
          <w:rFonts w:hint="eastAsia" w:ascii="仿宋_GB2312" w:hAnsi="仿宋_GB2312" w:eastAsia="仿宋_GB2312" w:cs="仿宋_GB2312"/>
          <w:color w:val="auto"/>
          <w:kern w:val="0"/>
          <w:sz w:val="32"/>
          <w:szCs w:val="32"/>
          <w:lang w:eastAsia="zh-CN"/>
        </w:rPr>
        <w:t>%，主要原因是</w:t>
      </w:r>
      <w:r>
        <w:rPr>
          <w:rFonts w:hint="eastAsia" w:ascii="仿宋_GB2312" w:hAnsi="仿宋_GB2312" w:eastAsia="仿宋_GB2312" w:cs="仿宋_GB2312"/>
          <w:color w:val="auto"/>
          <w:kern w:val="0"/>
          <w:sz w:val="32"/>
          <w:szCs w:val="32"/>
          <w:lang w:val="en-US" w:eastAsia="zh-CN"/>
        </w:rPr>
        <w:t>区市专项资金较上年争取的减少，支出随之减少</w:t>
      </w:r>
      <w:r>
        <w:rPr>
          <w:rFonts w:hint="eastAsia" w:ascii="仿宋_GB2312" w:hAnsi="仿宋_GB2312" w:eastAsia="仿宋_GB2312" w:cs="仿宋_GB2312"/>
          <w:color w:val="auto"/>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537" w:firstLineChars="168"/>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度一般公共预算财政拨款支出28632726.87元，主要用于以下方面：一般公共服务（类）支出3736867.43元，占13.05%；科学技术（类）支出100000元，占0.35%；社会保障和就业（类）支出426803.31元，占1.50%；卫生健康（类）支出175002.21元，占0.61%；节能环保（类）支出17000000元，占59.37%；城乡社区（类）支出500000元，占1.74%；商业服务业等（类）支出6450000元，占22.53%；住房保障（类）支出241053.92元，占0.84%；粮食物资储备（类）支出3000元，占0.01%。</w:t>
      </w:r>
    </w:p>
    <w:p>
      <w:pPr>
        <w:spacing w:line="56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537" w:firstLineChars="168"/>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2023年度一般公共预算财政拨款支出年初预算为4092203.23元，支出决算为28632726.87元，完成年初预算的699.69%，其中：</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1.一般公共服务（类）</w:t>
      </w:r>
      <w:r>
        <w:rPr>
          <w:rFonts w:hint="eastAsia" w:ascii="仿宋_GB2312" w:hAnsi="仿宋_GB2312" w:eastAsia="仿宋_GB2312" w:cs="仿宋_GB2312"/>
          <w:b/>
          <w:bCs/>
          <w:color w:val="auto"/>
          <w:sz w:val="32"/>
          <w:szCs w:val="32"/>
          <w:lang w:val="en-US" w:eastAsia="zh-CN"/>
        </w:rPr>
        <w:t>发展与改革</w:t>
      </w:r>
      <w:r>
        <w:rPr>
          <w:rFonts w:hint="eastAsia" w:ascii="仿宋_GB2312" w:hAnsi="仿宋_GB2312" w:eastAsia="仿宋_GB2312" w:cs="仿宋_GB2312"/>
          <w:b/>
          <w:bCs/>
          <w:color w:val="auto"/>
          <w:sz w:val="32"/>
          <w:szCs w:val="32"/>
          <w:lang w:eastAsia="zh-CN"/>
        </w:rPr>
        <w:t>事务（款）行政运行（项）。</w:t>
      </w:r>
      <w:r>
        <w:rPr>
          <w:rFonts w:hint="eastAsia" w:ascii="仿宋_GB2312" w:hAnsi="仿宋_GB2312" w:eastAsia="仿宋_GB2312" w:cs="仿宋_GB2312"/>
          <w:color w:val="auto"/>
          <w:sz w:val="32"/>
          <w:szCs w:val="32"/>
          <w:lang w:eastAsia="zh-CN"/>
        </w:rPr>
        <w:t>年初预算为2673695.36元，支出决算为</w:t>
      </w:r>
      <w:r>
        <w:rPr>
          <w:rFonts w:hint="eastAsia" w:ascii="仿宋_GB2312" w:hAnsi="仿宋_GB2312" w:eastAsia="仿宋_GB2312" w:cs="仿宋_GB2312"/>
          <w:color w:val="auto"/>
          <w:sz w:val="32"/>
          <w:szCs w:val="32"/>
          <w:lang w:val="en-US" w:eastAsia="zh-CN"/>
        </w:rPr>
        <w:t>1926150.29</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72.04</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机构职能增加，新增人员较多，各项费用增加</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2.一般公共服务（类）</w:t>
      </w:r>
      <w:r>
        <w:rPr>
          <w:rFonts w:hint="eastAsia" w:ascii="仿宋_GB2312" w:hAnsi="仿宋_GB2312" w:eastAsia="仿宋_GB2312" w:cs="仿宋_GB2312"/>
          <w:b/>
          <w:bCs/>
          <w:color w:val="auto"/>
          <w:sz w:val="32"/>
          <w:szCs w:val="32"/>
          <w:lang w:val="en-US" w:eastAsia="zh-CN"/>
        </w:rPr>
        <w:t>发展与改革事务</w:t>
      </w:r>
      <w:r>
        <w:rPr>
          <w:rFonts w:hint="eastAsia" w:ascii="仿宋_GB2312" w:hAnsi="仿宋_GB2312" w:eastAsia="仿宋_GB2312" w:cs="仿宋_GB2312"/>
          <w:b/>
          <w:bCs/>
          <w:color w:val="auto"/>
          <w:sz w:val="32"/>
          <w:szCs w:val="32"/>
          <w:lang w:eastAsia="zh-CN"/>
        </w:rPr>
        <w:t>（款）一般行政管理事务（项）。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716500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为当年追加项目经费，年初无预算</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3.一般公共服务（类）</w:t>
      </w:r>
      <w:r>
        <w:rPr>
          <w:rFonts w:hint="eastAsia" w:ascii="仿宋_GB2312" w:hAnsi="仿宋_GB2312" w:eastAsia="仿宋_GB2312" w:cs="仿宋_GB2312"/>
          <w:b/>
          <w:bCs/>
          <w:color w:val="auto"/>
          <w:sz w:val="32"/>
          <w:szCs w:val="32"/>
          <w:lang w:val="en-US" w:eastAsia="zh-CN"/>
        </w:rPr>
        <w:t>发展与改革</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其他发展与改革事务</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年初预算为140000元，支出决算为</w:t>
      </w:r>
      <w:r>
        <w:rPr>
          <w:rFonts w:hint="eastAsia" w:ascii="仿宋_GB2312" w:hAnsi="仿宋_GB2312" w:eastAsia="仿宋_GB2312" w:cs="仿宋_GB2312"/>
          <w:color w:val="auto"/>
          <w:sz w:val="32"/>
          <w:szCs w:val="32"/>
          <w:lang w:val="en-US" w:eastAsia="zh-CN"/>
        </w:rPr>
        <w:t>1081029.14</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772.16</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上级拨款的项目经费较多</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.一般公共服务（类）</w:t>
      </w:r>
      <w:r>
        <w:rPr>
          <w:rFonts w:hint="eastAsia" w:ascii="仿宋_GB2312" w:hAnsi="仿宋_GB2312" w:eastAsia="仿宋_GB2312" w:cs="仿宋_GB2312"/>
          <w:b/>
          <w:bCs/>
          <w:color w:val="auto"/>
          <w:sz w:val="32"/>
          <w:szCs w:val="32"/>
          <w:lang w:val="en-US" w:eastAsia="zh-CN"/>
        </w:rPr>
        <w:t>商贸事务</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招商引资</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13188</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支出资金主要为历年结余招商引资经费</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科学技术支出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技术研究与开发</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其他技术研究与开发</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100000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w:t>
      </w:r>
      <w:bookmarkStart w:id="0" w:name="_GoBack"/>
      <w:bookmarkEnd w:id="0"/>
      <w:r>
        <w:rPr>
          <w:rFonts w:hint="eastAsia" w:ascii="仿宋_GB2312" w:hAnsi="仿宋_GB2312" w:eastAsia="仿宋_GB2312" w:cs="仿宋_GB2312"/>
          <w:color w:val="auto"/>
          <w:sz w:val="32"/>
          <w:szCs w:val="32"/>
          <w:lang w:eastAsia="zh-CN"/>
        </w:rPr>
        <w:t>预算数的主要原因</w:t>
      </w:r>
      <w:r>
        <w:rPr>
          <w:rFonts w:hint="eastAsia" w:ascii="仿宋_GB2312" w:hAnsi="仿宋_GB2312" w:eastAsia="仿宋_GB2312" w:cs="仿宋_GB2312"/>
          <w:color w:val="auto"/>
          <w:sz w:val="32"/>
          <w:szCs w:val="32"/>
          <w:lang w:val="en-US" w:eastAsia="zh-CN"/>
        </w:rPr>
        <w:t>上级当年拨款的专项资金，本级无预算指标</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社会保障和就业支出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行政事业单位养老支出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行政单位离退休</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152218</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157782.67</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103.66</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大于</w:t>
      </w:r>
      <w:r>
        <w:rPr>
          <w:rFonts w:hint="eastAsia" w:ascii="仿宋_GB2312" w:hAnsi="仿宋_GB2312" w:eastAsia="仿宋_GB2312" w:cs="仿宋_GB2312"/>
          <w:color w:val="auto"/>
          <w:sz w:val="32"/>
          <w:szCs w:val="32"/>
          <w:lang w:eastAsia="zh-CN"/>
        </w:rPr>
        <w:t>预算数的主要原因</w:t>
      </w:r>
      <w:r>
        <w:rPr>
          <w:rFonts w:hint="eastAsia" w:ascii="仿宋_GB2312" w:hAnsi="仿宋_GB2312" w:eastAsia="仿宋_GB2312" w:cs="仿宋_GB2312"/>
          <w:color w:val="auto"/>
          <w:sz w:val="32"/>
          <w:szCs w:val="32"/>
          <w:lang w:val="en-US" w:eastAsia="zh-CN"/>
        </w:rPr>
        <w:t>差异较小，属于正常范围内</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社会保障和就业支出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行政事业单位养老支出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机关事业单位基本养老保险缴费支出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238990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205648.32</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86.05</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养老保险基数调整及人员变动</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8.社会保障和就业支出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行政事业单位养老支出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机关事业单位职业年金缴费支出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74750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63372.32</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84.78</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职业年金基数调整及人员变动</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卫生健康支出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公共卫生</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突发公共卫生事件应急处理</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50000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33015.34</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66.03</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厉行节约，控制支出</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卫生健康支出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行政事业单位医疗</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行政单位医疗</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92967</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84079.41</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90.44</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医疗保险基数调整及人员变动</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卫生健康支出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行政事业单位医疗</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公务员医疗补助</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70977</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57907.46</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81.59</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公务员医疗补助基数调整及人员变动</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环保节能支出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其他环保节能支出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其他环保节能支出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17000000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区市当年专项资金，本级无预算</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城乡社区支出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城乡社区管理事务</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其他城乡社区管理事务支出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500000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区市当年专项资金，本级无预算</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商业服务业等支出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商业流通事务</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其他商业流通事务支出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4100000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区市当年专项资金，本级无预算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商业服务业等支出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其他商业服务业等支出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其他商业服务业等支出</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2350000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区市当年专项资金，本级无预算</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住房保障支出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住房改革支出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住房公积金</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216991.83</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198260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91.37</w:t>
      </w:r>
      <w:r>
        <w:rPr>
          <w:rFonts w:hint="eastAsia" w:ascii="仿宋_GB2312" w:hAnsi="仿宋_GB2312" w:eastAsia="仿宋_GB2312" w:cs="仿宋_GB2312"/>
          <w:color w:val="auto"/>
          <w:sz w:val="32"/>
          <w:szCs w:val="32"/>
          <w:lang w:eastAsia="zh-CN"/>
        </w:rPr>
        <w:t>%，决算数小于预算数的主要原因</w:t>
      </w:r>
      <w:r>
        <w:rPr>
          <w:rFonts w:hint="eastAsia" w:ascii="仿宋_GB2312" w:hAnsi="仿宋_GB2312" w:eastAsia="仿宋_GB2312" w:cs="仿宋_GB2312"/>
          <w:color w:val="auto"/>
          <w:sz w:val="32"/>
          <w:szCs w:val="32"/>
          <w:lang w:val="en-US" w:eastAsia="zh-CN"/>
        </w:rPr>
        <w:t>住房公积金基数调整及人员变动</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住房保障支出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住房改革支出</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购房补贴</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42793.92</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为住房补贴已在基本工资中列支</w:t>
      </w:r>
      <w:r>
        <w:rPr>
          <w:rFonts w:hint="eastAsia" w:ascii="仿宋_GB2312" w:hAnsi="仿宋_GB2312" w:eastAsia="仿宋_GB2312" w:cs="仿宋_GB2312"/>
          <w:color w:val="auto"/>
          <w:sz w:val="32"/>
          <w:szCs w:val="32"/>
          <w:lang w:eastAsia="zh-CN"/>
        </w:rPr>
        <w:t>。</w:t>
      </w:r>
    </w:p>
    <w:p>
      <w:pPr>
        <w:pStyle w:val="19"/>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18</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粮油物资储备支出</w:t>
      </w:r>
      <w:r>
        <w:rPr>
          <w:rFonts w:hint="eastAsia" w:ascii="仿宋_GB2312" w:hAnsi="仿宋_GB2312" w:eastAsia="仿宋_GB2312" w:cs="仿宋_GB2312"/>
          <w:b/>
          <w:bCs/>
          <w:color w:val="auto"/>
          <w:sz w:val="32"/>
          <w:szCs w:val="32"/>
          <w:lang w:eastAsia="zh-CN"/>
        </w:rPr>
        <w:t>（类）</w:t>
      </w:r>
      <w:r>
        <w:rPr>
          <w:rFonts w:hint="eastAsia" w:ascii="仿宋_GB2312" w:hAnsi="仿宋_GB2312" w:eastAsia="仿宋_GB2312" w:cs="仿宋_GB2312"/>
          <w:b/>
          <w:bCs/>
          <w:color w:val="auto"/>
          <w:sz w:val="32"/>
          <w:szCs w:val="32"/>
          <w:lang w:val="en-US" w:eastAsia="zh-CN"/>
        </w:rPr>
        <w:t>粮油物资事务</w:t>
      </w:r>
      <w:r>
        <w:rPr>
          <w:rFonts w:hint="eastAsia" w:ascii="仿宋_GB2312" w:hAnsi="仿宋_GB2312" w:eastAsia="仿宋_GB2312" w:cs="仿宋_GB2312"/>
          <w:b/>
          <w:bCs/>
          <w:color w:val="auto"/>
          <w:sz w:val="32"/>
          <w:szCs w:val="32"/>
          <w:lang w:eastAsia="zh-CN"/>
        </w:rPr>
        <w:t>（款）</w:t>
      </w:r>
      <w:r>
        <w:rPr>
          <w:rFonts w:hint="eastAsia" w:ascii="仿宋_GB2312" w:hAnsi="仿宋_GB2312" w:eastAsia="仿宋_GB2312" w:cs="仿宋_GB2312"/>
          <w:b/>
          <w:bCs/>
          <w:color w:val="auto"/>
          <w:sz w:val="32"/>
          <w:szCs w:val="32"/>
          <w:lang w:val="en-US" w:eastAsia="zh-CN"/>
        </w:rPr>
        <w:t>专项业务活动</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lang w:eastAsia="zh-CN"/>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元，支出决算为</w:t>
      </w:r>
      <w:r>
        <w:rPr>
          <w:rFonts w:hint="eastAsia" w:ascii="仿宋_GB2312" w:hAnsi="仿宋_GB2312" w:eastAsia="仿宋_GB2312" w:cs="仿宋_GB2312"/>
          <w:color w:val="auto"/>
          <w:sz w:val="32"/>
          <w:szCs w:val="32"/>
          <w:lang w:val="en-US" w:eastAsia="zh-CN"/>
        </w:rPr>
        <w:t>3000</w:t>
      </w:r>
      <w:r>
        <w:rPr>
          <w:rFonts w:hint="eastAsia" w:ascii="仿宋_GB2312" w:hAnsi="仿宋_GB2312" w:eastAsia="仿宋_GB2312" w:cs="仿宋_GB2312"/>
          <w:color w:val="auto"/>
          <w:sz w:val="32"/>
          <w:szCs w:val="32"/>
          <w:lang w:eastAsia="zh-CN"/>
        </w:rPr>
        <w:t>元，完成年初预算的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%，决算数大于预算数的主要原因</w:t>
      </w:r>
      <w:r>
        <w:rPr>
          <w:rFonts w:hint="eastAsia" w:ascii="仿宋_GB2312" w:hAnsi="仿宋_GB2312" w:eastAsia="仿宋_GB2312" w:cs="仿宋_GB2312"/>
          <w:color w:val="auto"/>
          <w:sz w:val="32"/>
          <w:szCs w:val="32"/>
          <w:lang w:val="en-US" w:eastAsia="zh-CN"/>
        </w:rPr>
        <w:t>区市当年专项资金，本级无预算</w:t>
      </w:r>
      <w:r>
        <w:rPr>
          <w:rFonts w:hint="eastAsia" w:ascii="仿宋_GB2312" w:hAnsi="仿宋_GB2312" w:eastAsia="仿宋_GB2312" w:cs="仿宋_GB2312"/>
          <w:color w:val="auto"/>
          <w:sz w:val="32"/>
          <w:szCs w:val="32"/>
          <w:lang w:eastAsia="zh-CN"/>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9"/>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2023年</w:t>
      </w:r>
      <w:r>
        <w:rPr>
          <w:rFonts w:hint="eastAsia" w:ascii="仿宋_GB2312" w:hAnsi="仿宋_GB2312" w:eastAsia="仿宋_GB2312" w:cs="仿宋_GB2312"/>
          <w:color w:val="auto"/>
          <w:sz w:val="32"/>
          <w:szCs w:val="32"/>
        </w:rPr>
        <w:t>度一般公共预算财政拨款基本支出</w:t>
      </w:r>
      <w:r>
        <w:rPr>
          <w:rFonts w:hint="eastAsia" w:ascii="仿宋_GB2312" w:hAnsi="仿宋_GB2312" w:eastAsia="仿宋_GB2312" w:cs="仿宋_GB2312"/>
          <w:color w:val="auto"/>
          <w:sz w:val="32"/>
          <w:szCs w:val="32"/>
          <w:lang w:val="en-US" w:eastAsia="zh-CN"/>
        </w:rPr>
        <w:t>2735994.39</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2518658.22</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lang w:val="en-US" w:eastAsia="zh-CN"/>
        </w:rPr>
        <w:t>217336.17元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支出具体情况如下：</w:t>
      </w:r>
    </w:p>
    <w:p>
      <w:pPr>
        <w:pStyle w:val="19"/>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val="en-US" w:eastAsia="zh-CN"/>
        </w:rPr>
        <w:t>2353953.55</w:t>
      </w:r>
      <w:r>
        <w:rPr>
          <w:rFonts w:hint="eastAsia" w:ascii="仿宋_GB2312" w:hAnsi="仿宋_GB2312" w:eastAsia="仿宋_GB2312" w:cs="仿宋_GB2312"/>
          <w:color w:val="auto"/>
          <w:sz w:val="32"/>
          <w:szCs w:val="32"/>
        </w:rPr>
        <w:t>元，较年初预算数增加</w:t>
      </w:r>
      <w:r>
        <w:rPr>
          <w:rFonts w:hint="eastAsia" w:ascii="仿宋_GB2312" w:hAnsi="仿宋_GB2312" w:eastAsia="仿宋_GB2312" w:cs="仿宋_GB2312"/>
          <w:color w:val="auto"/>
          <w:sz w:val="32"/>
          <w:szCs w:val="32"/>
          <w:lang w:val="en-US" w:eastAsia="zh-CN"/>
        </w:rPr>
        <w:t>697745.24</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42.13</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机构职能增加，新增人员较多，工资增加</w:t>
      </w:r>
      <w:r>
        <w:rPr>
          <w:rFonts w:hint="eastAsia" w:ascii="仿宋_GB2312" w:hAnsi="仿宋_GB2312" w:eastAsia="仿宋_GB2312" w:cs="仿宋_GB2312"/>
          <w:color w:val="auto"/>
          <w:sz w:val="32"/>
          <w:szCs w:val="32"/>
        </w:rPr>
        <w:t>；较上年决算数减少</w:t>
      </w:r>
      <w:r>
        <w:rPr>
          <w:rFonts w:hint="eastAsia" w:ascii="仿宋_GB2312" w:hAnsi="仿宋_GB2312" w:eastAsia="仿宋_GB2312" w:cs="仿宋_GB2312"/>
          <w:color w:val="auto"/>
          <w:sz w:val="32"/>
          <w:szCs w:val="32"/>
          <w:lang w:val="en-US" w:eastAsia="zh-CN"/>
        </w:rPr>
        <w:t>282788.06</w:t>
      </w:r>
      <w:r>
        <w:rPr>
          <w:rFonts w:hint="eastAsia" w:ascii="仿宋_GB2312" w:hAnsi="仿宋_GB2312" w:eastAsia="仿宋_GB2312" w:cs="仿宋_GB2312"/>
          <w:color w:val="auto"/>
          <w:sz w:val="32"/>
          <w:szCs w:val="32"/>
        </w:rPr>
        <w:t>元，下降</w:t>
      </w:r>
      <w:r>
        <w:rPr>
          <w:rFonts w:hint="eastAsia" w:ascii="仿宋_GB2312" w:hAnsi="仿宋_GB2312" w:eastAsia="仿宋_GB2312" w:cs="仿宋_GB2312"/>
          <w:color w:val="auto"/>
          <w:sz w:val="32"/>
          <w:szCs w:val="32"/>
          <w:lang w:val="en-US" w:eastAsia="zh-CN"/>
        </w:rPr>
        <w:t>10.72</w:t>
      </w:r>
      <w:r>
        <w:rPr>
          <w:rFonts w:hint="eastAsia" w:ascii="仿宋_GB2312" w:hAnsi="仿宋_GB2312" w:eastAsia="仿宋_GB2312" w:cs="仿宋_GB2312"/>
          <w:color w:val="auto"/>
          <w:sz w:val="32"/>
          <w:szCs w:val="32"/>
        </w:rPr>
        <w:t>%。</w:t>
      </w:r>
    </w:p>
    <w:p>
      <w:pPr>
        <w:pStyle w:val="19"/>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217336.17</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lang w:val="en-US" w:eastAsia="zh-CN"/>
        </w:rPr>
        <w:t>78970.17</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57.07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综合建材园管理费用从商品和服务支出中列支，导致商品和服务支出项变动较大</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lang w:val="en-US" w:eastAsia="zh-CN"/>
        </w:rPr>
        <w:t>96427.02</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79.75</w:t>
      </w:r>
      <w:r>
        <w:rPr>
          <w:rFonts w:hint="eastAsia" w:ascii="仿宋_GB2312" w:hAnsi="仿宋_GB2312" w:eastAsia="仿宋_GB2312" w:cs="仿宋_GB2312"/>
          <w:color w:val="auto"/>
          <w:sz w:val="32"/>
          <w:szCs w:val="32"/>
        </w:rPr>
        <w:t>%。</w:t>
      </w:r>
    </w:p>
    <w:p>
      <w:pPr>
        <w:pStyle w:val="19"/>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164704.67</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lang w:val="en-US" w:eastAsia="zh-CN"/>
        </w:rPr>
        <w:t>5564.67</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sz w:val="32"/>
          <w:szCs w:val="32"/>
          <w:lang w:val="en-US" w:eastAsia="zh-CN"/>
        </w:rPr>
        <w:t>预决算差距无太大变化，根据人员情况有所增加</w:t>
      </w:r>
      <w:r>
        <w:rPr>
          <w:rFonts w:hint="eastAsia" w:ascii="仿宋_GB2312" w:hAnsi="仿宋_GB2312" w:eastAsia="仿宋_GB2312" w:cs="仿宋_GB2312"/>
          <w:color w:val="auto"/>
          <w:sz w:val="32"/>
          <w:szCs w:val="32"/>
        </w:rPr>
        <w:t>；较上年决算数减少</w:t>
      </w:r>
      <w:r>
        <w:rPr>
          <w:rFonts w:hint="eastAsia" w:ascii="仿宋_GB2312" w:hAnsi="仿宋_GB2312" w:eastAsia="仿宋_GB2312" w:cs="仿宋_GB2312"/>
          <w:color w:val="auto"/>
          <w:sz w:val="32"/>
          <w:szCs w:val="32"/>
          <w:lang w:val="en-US" w:eastAsia="zh-CN"/>
        </w:rPr>
        <w:t>8434.85</w:t>
      </w:r>
      <w:r>
        <w:rPr>
          <w:rFonts w:hint="eastAsia" w:ascii="仿宋_GB2312" w:hAnsi="仿宋_GB2312" w:eastAsia="仿宋_GB2312" w:cs="仿宋_GB2312"/>
          <w:color w:val="auto"/>
          <w:sz w:val="32"/>
          <w:szCs w:val="32"/>
        </w:rPr>
        <w:t>元，下降</w:t>
      </w: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pPr>
        <w:spacing w:line="560" w:lineRule="exact"/>
        <w:ind w:firstLine="640" w:firstLineChars="200"/>
        <w:outlineLvl w:val="1"/>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2023</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，我单位无财政拨款“三公”经费支出。</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spacing w:line="560" w:lineRule="exact"/>
        <w:ind w:firstLine="640" w:firstLineChars="200"/>
        <w:outlineLvl w:val="1"/>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2023</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我单位政府性基金预算财政拨款收入及支出。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2023</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度本部门机关运行经费支出</w:t>
      </w:r>
      <w:r>
        <w:rPr>
          <w:rFonts w:hint="eastAsia" w:eastAsia="仿宋_GB2312"/>
          <w:kern w:val="0"/>
          <w:sz w:val="32"/>
          <w:szCs w:val="32"/>
          <w:lang w:val="en-US" w:eastAsia="zh-CN"/>
        </w:rPr>
        <w:t>217336.17</w:t>
      </w:r>
      <w:r>
        <w:rPr>
          <w:rFonts w:eastAsia="仿宋_GB2312"/>
          <w:kern w:val="0"/>
          <w:sz w:val="32"/>
          <w:szCs w:val="32"/>
        </w:rPr>
        <w:t>元，比</w:t>
      </w:r>
      <w:r>
        <w:rPr>
          <w:rFonts w:hint="eastAsia" w:eastAsia="仿宋_GB2312"/>
          <w:kern w:val="0"/>
          <w:sz w:val="32"/>
          <w:szCs w:val="32"/>
          <w:lang w:val="en-US" w:eastAsia="zh-CN"/>
        </w:rPr>
        <w:t>2022年度</w:t>
      </w:r>
      <w:r>
        <w:rPr>
          <w:rFonts w:eastAsia="仿宋_GB2312"/>
          <w:kern w:val="0"/>
          <w:sz w:val="32"/>
          <w:szCs w:val="32"/>
        </w:rPr>
        <w:t>增加</w:t>
      </w:r>
      <w:r>
        <w:rPr>
          <w:rFonts w:hint="eastAsia" w:eastAsia="仿宋_GB2312"/>
          <w:kern w:val="0"/>
          <w:sz w:val="32"/>
          <w:szCs w:val="32"/>
          <w:lang w:val="en-US" w:eastAsia="zh-CN"/>
        </w:rPr>
        <w:t>96427.02</w:t>
      </w:r>
      <w:r>
        <w:rPr>
          <w:rFonts w:eastAsia="仿宋_GB2312"/>
          <w:kern w:val="0"/>
          <w:sz w:val="32"/>
          <w:szCs w:val="32"/>
        </w:rPr>
        <w:t>元，增长</w:t>
      </w:r>
      <w:r>
        <w:rPr>
          <w:rFonts w:hint="eastAsia" w:eastAsia="仿宋_GB2312"/>
          <w:kern w:val="0"/>
          <w:sz w:val="32"/>
          <w:szCs w:val="32"/>
          <w:lang w:val="en-US" w:eastAsia="zh-CN"/>
        </w:rPr>
        <w:t>79.75</w:t>
      </w:r>
      <w:r>
        <w:rPr>
          <w:rFonts w:eastAsia="仿宋_GB2312"/>
          <w:kern w:val="0"/>
          <w:sz w:val="32"/>
          <w:szCs w:val="32"/>
        </w:rPr>
        <w:t>%。主要原因</w:t>
      </w:r>
      <w:r>
        <w:rPr>
          <w:rFonts w:hint="eastAsia" w:eastAsia="仿宋_GB2312"/>
          <w:kern w:val="0"/>
          <w:sz w:val="32"/>
          <w:szCs w:val="32"/>
          <w:lang w:val="en-US" w:eastAsia="zh-CN"/>
        </w:rPr>
        <w:t>是</w:t>
      </w:r>
      <w:r>
        <w:rPr>
          <w:rFonts w:hint="eastAsia" w:ascii="仿宋_GB2312" w:hAnsi="仿宋_GB2312" w:eastAsia="仿宋_GB2312" w:cs="仿宋_GB2312"/>
          <w:color w:val="auto"/>
          <w:sz w:val="32"/>
          <w:szCs w:val="32"/>
          <w:lang w:val="en-US" w:eastAsia="zh-CN"/>
        </w:rPr>
        <w:t>综合建材园管理费用从商品和服务支出中列支，导致商品和服务支出项变动较大</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2023年</w:t>
      </w:r>
      <w:r>
        <w:rPr>
          <w:rFonts w:eastAsia="仿宋_GB2312"/>
          <w:kern w:val="0"/>
          <w:sz w:val="32"/>
          <w:szCs w:val="32"/>
        </w:rPr>
        <w:t>度本部门政府采购支出决算总额</w:t>
      </w:r>
      <w:r>
        <w:rPr>
          <w:rFonts w:hint="eastAsia" w:eastAsia="仿宋_GB2312"/>
          <w:kern w:val="0"/>
          <w:sz w:val="32"/>
          <w:szCs w:val="32"/>
          <w:lang w:val="en-US" w:eastAsia="zh-CN"/>
        </w:rPr>
        <w:t>834020</w:t>
      </w:r>
      <w:r>
        <w:rPr>
          <w:rFonts w:eastAsia="仿宋_GB2312"/>
          <w:kern w:val="0"/>
          <w:sz w:val="32"/>
          <w:szCs w:val="32"/>
        </w:rPr>
        <w:t>元，其中：政府采购货物预算</w:t>
      </w:r>
      <w:r>
        <w:rPr>
          <w:rFonts w:hint="eastAsia" w:eastAsia="仿宋_GB2312"/>
          <w:kern w:val="0"/>
          <w:sz w:val="32"/>
          <w:szCs w:val="32"/>
          <w:lang w:val="en-US" w:eastAsia="zh-CN"/>
        </w:rPr>
        <w:t>4020</w:t>
      </w:r>
      <w:r>
        <w:rPr>
          <w:rFonts w:eastAsia="仿宋_GB2312"/>
          <w:kern w:val="0"/>
          <w:sz w:val="32"/>
          <w:szCs w:val="32"/>
        </w:rPr>
        <w:t>元，政府采购服务预算</w:t>
      </w:r>
      <w:r>
        <w:rPr>
          <w:rFonts w:hint="eastAsia" w:eastAsia="仿宋_GB2312"/>
          <w:kern w:val="0"/>
          <w:sz w:val="32"/>
          <w:szCs w:val="32"/>
          <w:lang w:val="en-US" w:eastAsia="zh-CN"/>
        </w:rPr>
        <w:t>830000</w:t>
      </w:r>
      <w:r>
        <w:rPr>
          <w:rFonts w:eastAsia="仿宋_GB2312"/>
          <w:kern w:val="0"/>
          <w:sz w:val="32"/>
          <w:szCs w:val="32"/>
        </w:rPr>
        <w:t>元。</w:t>
      </w:r>
    </w:p>
    <w:p>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cs="Times New Roman"/>
          <w:kern w:val="0"/>
          <w:sz w:val="32"/>
          <w:szCs w:val="32"/>
          <w:lang w:val="en-US" w:eastAsia="zh-CN"/>
        </w:rPr>
        <w:t>834020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cs="Times New Roman"/>
          <w:kern w:val="0"/>
          <w:sz w:val="32"/>
          <w:szCs w:val="32"/>
          <w:lang w:val="en-US" w:eastAsia="zh-CN"/>
        </w:rPr>
        <w:t>834020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2023年</w:t>
      </w:r>
      <w:r>
        <w:rPr>
          <w:rFonts w:eastAsia="仿宋_GB2312"/>
          <w:kern w:val="0"/>
          <w:sz w:val="32"/>
          <w:szCs w:val="32"/>
        </w:rPr>
        <w:t>12月31日，本部门房屋面积</w:t>
      </w:r>
      <w:r>
        <w:rPr>
          <w:rFonts w:hint="eastAsia" w:eastAsia="仿宋_GB2312"/>
          <w:kern w:val="0"/>
          <w:sz w:val="32"/>
          <w:szCs w:val="32"/>
          <w:lang w:val="en-US" w:eastAsia="zh-CN"/>
        </w:rPr>
        <w:t>0</w:t>
      </w:r>
      <w:r>
        <w:rPr>
          <w:rFonts w:eastAsia="仿宋_GB2312"/>
          <w:kern w:val="0"/>
          <w:sz w:val="32"/>
          <w:szCs w:val="32"/>
        </w:rPr>
        <w:t>平方米，共有车辆</w:t>
      </w:r>
      <w:r>
        <w:rPr>
          <w:rFonts w:hint="eastAsia" w:eastAsia="仿宋_GB2312"/>
          <w:kern w:val="0"/>
          <w:sz w:val="32"/>
          <w:szCs w:val="32"/>
          <w:lang w:val="en-US" w:eastAsia="zh-CN"/>
        </w:rPr>
        <w:t>5</w:t>
      </w:r>
      <w:r>
        <w:rPr>
          <w:rFonts w:eastAsia="仿宋_GB2312"/>
          <w:kern w:val="0"/>
          <w:sz w:val="32"/>
          <w:szCs w:val="32"/>
        </w:rPr>
        <w:t>辆，</w:t>
      </w:r>
      <w:r>
        <w:rPr>
          <w:rFonts w:hint="eastAsia" w:eastAsia="仿宋_GB2312"/>
          <w:kern w:val="0"/>
          <w:sz w:val="32"/>
          <w:szCs w:val="32"/>
          <w:lang w:val="en-US" w:eastAsia="zh-CN"/>
        </w:rPr>
        <w:t>全部为</w:t>
      </w:r>
      <w:r>
        <w:rPr>
          <w:rFonts w:hint="default" w:ascii="Times New Roman" w:hAnsi="Times New Roman" w:eastAsia="仿宋_GB2312" w:cs="Times New Roman"/>
          <w:kern w:val="0"/>
          <w:sz w:val="32"/>
          <w:szCs w:val="32"/>
          <w:lang w:eastAsia="zh-CN"/>
        </w:rPr>
        <w:t>应急保障用车</w:t>
      </w:r>
      <w:r>
        <w:rPr>
          <w:rFonts w:hint="eastAsia" w:eastAsia="仿宋_GB2312"/>
          <w:kern w:val="0"/>
          <w:sz w:val="32"/>
          <w:szCs w:val="32"/>
          <w:lang w:val="en-US" w:eastAsia="zh-CN"/>
        </w:rPr>
        <w:t>，</w:t>
      </w:r>
      <w:r>
        <w:rPr>
          <w:rFonts w:hint="eastAsia"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单价100万元以上专用设备。</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ind w:firstLine="643" w:firstLineChars="200"/>
        <w:outlineLvl w:val="1"/>
        <w:rPr>
          <w:rFonts w:hint="default" w:ascii="Times New Roman" w:hAnsi="Times New Roman" w:eastAsia="仿宋_GB2312" w:cs="Times New Roman"/>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w:t>
      </w:r>
      <w:r>
        <w:rPr>
          <w:rFonts w:hint="eastAsia" w:eastAsia="仿宋_GB2312"/>
          <w:kern w:val="0"/>
          <w:sz w:val="32"/>
          <w:szCs w:val="32"/>
          <w:lang w:val="en-US" w:eastAsia="zh-CN"/>
        </w:rPr>
        <w:t>金凤区发展和改革局</w:t>
      </w:r>
      <w:r>
        <w:rPr>
          <w:rFonts w:eastAsia="仿宋_GB2312"/>
          <w:kern w:val="0"/>
          <w:sz w:val="32"/>
          <w:szCs w:val="32"/>
        </w:rPr>
        <w:t>组织对</w:t>
      </w:r>
      <w:r>
        <w:rPr>
          <w:rFonts w:hint="eastAsia" w:eastAsia="仿宋_GB2312"/>
          <w:kern w:val="0"/>
          <w:sz w:val="32"/>
          <w:szCs w:val="32"/>
          <w:lang w:eastAsia="zh-CN"/>
        </w:rPr>
        <w:t>2023年</w:t>
      </w:r>
      <w:r>
        <w:rPr>
          <w:rFonts w:eastAsia="仿宋_GB2312"/>
          <w:kern w:val="0"/>
          <w:sz w:val="32"/>
          <w:szCs w:val="32"/>
        </w:rPr>
        <w:t>度支出开展绩效自评。</w:t>
      </w:r>
      <w:r>
        <w:rPr>
          <w:rFonts w:hint="default" w:ascii="Times New Roman" w:hAnsi="Times New Roman" w:eastAsia="仿宋_GB2312" w:cs="Times New Roman"/>
          <w:kern w:val="0"/>
          <w:sz w:val="32"/>
          <w:szCs w:val="32"/>
          <w:lang w:eastAsia="zh-CN"/>
        </w:rPr>
        <w:t>一般公共预算项目</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，包含</w:t>
      </w:r>
      <w:r>
        <w:rPr>
          <w:rFonts w:hint="default" w:ascii="Times New Roman" w:hAnsi="Times New Roman" w:eastAsia="仿宋_GB2312" w:cs="Times New Roman"/>
          <w:kern w:val="0"/>
          <w:sz w:val="32"/>
          <w:szCs w:val="32"/>
        </w:rPr>
        <w:t>一级项目</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个，二级项目</w:t>
      </w:r>
      <w:r>
        <w:rPr>
          <w:rFonts w:hint="eastAsia" w:eastAsia="仿宋_GB2312"/>
          <w:kern w:val="0"/>
          <w:sz w:val="32"/>
          <w:szCs w:val="32"/>
          <w:lang w:val="en-US" w:eastAsia="zh-CN"/>
        </w:rPr>
        <w:t>5</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cs="Times New Roman"/>
          <w:kern w:val="0"/>
          <w:sz w:val="32"/>
          <w:szCs w:val="32"/>
          <w:lang w:val="en-US" w:eastAsia="zh-CN"/>
        </w:rPr>
        <w:t>213.85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8.26</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无</w:t>
      </w:r>
      <w:r>
        <w:rPr>
          <w:rFonts w:hint="default" w:ascii="Times New Roman" w:hAnsi="Times New Roman" w:eastAsia="仿宋_GB2312" w:cs="Times New Roman"/>
          <w:kern w:val="0"/>
          <w:sz w:val="32"/>
          <w:szCs w:val="32"/>
          <w:lang w:val="en-US" w:eastAsia="zh-CN"/>
        </w:rPr>
        <w:t>政府性基金预算项目</w:t>
      </w:r>
      <w:r>
        <w:rPr>
          <w:rFonts w:hint="default" w:ascii="Times New Roman" w:hAnsi="Times New Roman" w:eastAsia="仿宋_GB2312" w:cs="Times New Roman"/>
          <w:kern w:val="0"/>
          <w:sz w:val="32"/>
          <w:szCs w:val="32"/>
        </w:rPr>
        <w:t>。</w:t>
      </w:r>
    </w:p>
    <w:p>
      <w:pPr>
        <w:spacing w:line="560" w:lineRule="exact"/>
        <w:ind w:firstLine="640" w:firstLineChars="200"/>
        <w:outlineLvl w:val="1"/>
        <w:rPr>
          <w:rFonts w:eastAsia="仿宋_GB2312"/>
          <w:b/>
          <w:bCs/>
          <w:color w:val="FF0000"/>
          <w:kern w:val="0"/>
          <w:sz w:val="32"/>
          <w:szCs w:val="32"/>
        </w:rPr>
      </w:pPr>
      <w:r>
        <w:rPr>
          <w:rFonts w:hint="eastAsia" w:ascii="仿宋_GB2312" w:hAnsi="仿宋_GB2312" w:eastAsia="仿宋_GB2312" w:cs="仿宋_GB2312"/>
          <w:color w:val="000000"/>
          <w:kern w:val="2"/>
          <w:sz w:val="32"/>
          <w:szCs w:val="32"/>
          <w:highlight w:val="none"/>
          <w:lang w:val="en-US" w:eastAsia="zh-CN" w:bidi="ar-SA"/>
        </w:rPr>
        <w:t>发展和改革局共组织对金凤区黄河流域高质量发展先行区成果展厅项目施工、建材园综合运营经费等5个项目开展了绩效评价，涉及一般公共预算支出2138488.92元，政府性基金预算支出0元。未委托第三方机构开展绩效评价。从评价情况来看，我局在2023年度财务管理、健全、规范上没有违法违规现象，我局通过一年的努力工作，全局干部职工进一步转变工作作风，办事更加积极、态度更加热情，对于企业群众反映的问题解决答复满意率达到95%。我局将在今后工作中进一步加强预算管理，严格控制各项经费开支，提高经费使用效率。</w:t>
      </w:r>
    </w:p>
    <w:p>
      <w:pPr>
        <w:spacing w:line="560" w:lineRule="exact"/>
        <w:ind w:firstLine="643" w:firstLineChars="200"/>
        <w:outlineLvl w:val="1"/>
        <w:rPr>
          <w:rFonts w:hint="default" w:ascii="Times New Roman" w:hAnsi="Times New Roman" w:eastAsia="仿宋_GB2312" w:cs="Times New Roman"/>
          <w:kern w:val="0"/>
          <w:sz w:val="32"/>
          <w:szCs w:val="32"/>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90</w:t>
      </w:r>
      <w:r>
        <w:rPr>
          <w:rFonts w:hint="default" w:ascii="Times New Roman" w:hAnsi="Times New Roman" w:eastAsia="仿宋_GB2312" w:cs="Times New Roman"/>
          <w:kern w:val="0"/>
          <w:sz w:val="32"/>
          <w:szCs w:val="32"/>
        </w:rPr>
        <w:t>分。发现的主要问题：</w:t>
      </w:r>
      <w:r>
        <w:rPr>
          <w:rFonts w:hint="eastAsia" w:ascii="仿宋_GB2312" w:hAnsi="仿宋_GB2312" w:eastAsia="仿宋_GB2312" w:cs="仿宋_GB2312"/>
          <w:color w:val="000000"/>
          <w:kern w:val="2"/>
          <w:sz w:val="32"/>
          <w:szCs w:val="32"/>
          <w:highlight w:val="none"/>
          <w:lang w:val="en-US" w:eastAsia="zh-CN" w:bidi="ar-SA"/>
        </w:rPr>
        <w:t>我局严格按照预算管理规定执行预算批复，预算支出完成率97.86%，稍低于目标值，主要原因是：部分服务业引导资金的项目需进行严格的绩效考核，财务支付手续不完备，同时疫情致使财政资金紧张未能及时进行拨付只能结转下年度进行支付。</w:t>
      </w:r>
      <w:r>
        <w:rPr>
          <w:rFonts w:hint="default" w:ascii="Times New Roman" w:hAnsi="Times New Roman" w:eastAsia="仿宋_GB2312" w:cs="Times New Roman"/>
          <w:kern w:val="0"/>
          <w:sz w:val="32"/>
          <w:szCs w:val="32"/>
        </w:rPr>
        <w:t>下一步改进措施：</w:t>
      </w:r>
      <w:r>
        <w:rPr>
          <w:rFonts w:hint="eastAsia" w:ascii="仿宋_GB2312" w:hAnsi="仿宋_GB2312" w:eastAsia="仿宋_GB2312" w:cs="仿宋_GB2312"/>
          <w:color w:val="000000"/>
          <w:kern w:val="2"/>
          <w:sz w:val="32"/>
          <w:szCs w:val="32"/>
          <w:highlight w:val="none"/>
          <w:lang w:val="en-US" w:eastAsia="zh-CN" w:bidi="ar-SA"/>
        </w:rPr>
        <w:t>今后改进的方向:一是作为综合经济部门，工作的前瞻性、战略性和全局性不够，抓经济促发展及对辖区经济运行的预测、研判的能力还需进一步提升。二是谋项目、抓发展的成效还有待提升，产业项目储备和投资后劲不足。三是社会信用体系建设、价格监督管理、国防经济信息动员、</w:t>
      </w:r>
      <w:r>
        <w:rPr>
          <w:rFonts w:hint="eastAsia" w:ascii="仿宋_GB2312" w:hAnsi="仿宋_GB2312" w:eastAsia="仿宋_GB2312" w:cs="仿宋_GB2312"/>
          <w:color w:val="000000"/>
          <w:kern w:val="2"/>
          <w:sz w:val="32"/>
          <w:szCs w:val="32"/>
          <w:highlight w:val="none"/>
          <w:lang w:val="zh-CN" w:eastAsia="zh-CN" w:bidi="ar-SA"/>
        </w:rPr>
        <w:t>粮食监管等工作职能发挥、统筹协调作用有待加强</w:t>
      </w:r>
      <w:r>
        <w:rPr>
          <w:rFonts w:hint="default" w:ascii="Times New Roman" w:hAnsi="Times New Roman" w:eastAsia="仿宋_GB2312" w:cs="Times New Roman"/>
          <w:kern w:val="0"/>
          <w:sz w:val="32"/>
          <w:szCs w:val="32"/>
        </w:rPr>
        <w:t>。</w:t>
      </w:r>
    </w:p>
    <w:p>
      <w:pPr>
        <w:spacing w:line="560" w:lineRule="exact"/>
        <w:ind w:firstLine="640" w:firstLineChars="200"/>
        <w:outlineLvl w:val="1"/>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《2023年度项目支出绩效自评表》）</w:t>
      </w:r>
    </w:p>
    <w:p>
      <w:pPr>
        <w:spacing w:line="560" w:lineRule="exact"/>
        <w:jc w:val="center"/>
        <w:outlineLvl w:val="1"/>
        <w:rPr>
          <w:rFonts w:hint="eastAsia" w:ascii="方正小标宋简体" w:hAnsi="方正小标宋简体" w:eastAsia="方正小标宋简体" w:cs="方正小标宋简体"/>
          <w:kern w:val="0"/>
          <w:sz w:val="44"/>
          <w:szCs w:val="44"/>
        </w:rPr>
      </w:pPr>
    </w:p>
    <w:p>
      <w:pPr>
        <w:spacing w:line="56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2023年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1"/>
        <w:rPr>
          <w:rFonts w:hint="eastAsia" w:ascii="方正小标宋简体" w:hAnsi="方正小标宋简体" w:eastAsia="方正小标宋简体" w:cs="方正小标宋简体"/>
          <w:kern w:val="0"/>
          <w:sz w:val="44"/>
          <w:szCs w:val="44"/>
          <w:lang w:eastAsia="zh-CN"/>
        </w:rPr>
      </w:pPr>
    </w:p>
    <w:p>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pPr>
        <w:snapToGrid w:val="0"/>
        <w:spacing w:line="560" w:lineRule="exact"/>
        <w:ind w:firstLine="640" w:firstLineChars="200"/>
        <w:rPr>
          <w:rFonts w:hint="eastAsia" w:eastAsia="仿宋_GB2312"/>
          <w:color w:val="000000"/>
          <w:kern w:val="0"/>
          <w:sz w:val="32"/>
          <w:szCs w:val="32"/>
          <w:lang w:val="en-US" w:eastAsia="zh-CN"/>
        </w:rPr>
      </w:pPr>
    </w:p>
    <w:p>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附件：《2023年度项目支出绩效自评表》</w:t>
      </w:r>
    </w:p>
    <w:p>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pPr>
        <w:snapToGrid w:val="0"/>
        <w:spacing w:line="560" w:lineRule="exact"/>
        <w:ind w:firstLine="640" w:firstLineChars="200"/>
        <w:rPr>
          <w:rFonts w:eastAsia="仿宋_GB2312"/>
          <w:sz w:val="32"/>
          <w:szCs w:val="32"/>
        </w:rPr>
      </w:pPr>
    </w:p>
    <w:p>
      <w:pPr>
        <w:spacing w:line="560" w:lineRule="exact"/>
        <w:ind w:firstLine="640" w:firstLineChars="200"/>
        <w:outlineLvl w:val="1"/>
        <w:rPr>
          <w:rFonts w:hint="default" w:ascii="Times New Roman" w:hAnsi="Times New Roman" w:eastAsia="仿宋_GB2312" w:cs="Times New Roman"/>
          <w:color w:val="000000"/>
          <w:kern w:val="0"/>
          <w:sz w:val="32"/>
          <w:szCs w:val="32"/>
          <w:lang w:val="en-US" w:eastAsia="zh-CN" w:bidi="ar"/>
        </w:rPr>
      </w:pPr>
    </w:p>
    <w:tbl>
      <w:tblPr>
        <w:tblStyle w:val="10"/>
        <w:tblW w:w="9080" w:type="dxa"/>
        <w:jc w:val="center"/>
        <w:tblLayout w:type="fixed"/>
        <w:tblCellMar>
          <w:top w:w="0" w:type="dxa"/>
          <w:left w:w="108" w:type="dxa"/>
          <w:bottom w:w="0" w:type="dxa"/>
          <w:right w:w="108" w:type="dxa"/>
        </w:tblCellMar>
      </w:tblPr>
      <w:tblGrid>
        <w:gridCol w:w="577"/>
        <w:gridCol w:w="11"/>
        <w:gridCol w:w="952"/>
        <w:gridCol w:w="28"/>
        <w:gridCol w:w="1064"/>
        <w:gridCol w:w="48"/>
        <w:gridCol w:w="669"/>
        <w:gridCol w:w="61"/>
        <w:gridCol w:w="947"/>
        <w:gridCol w:w="106"/>
        <w:gridCol w:w="81"/>
        <w:gridCol w:w="198"/>
        <w:gridCol w:w="86"/>
        <w:gridCol w:w="749"/>
        <w:gridCol w:w="101"/>
        <w:gridCol w:w="44"/>
        <w:gridCol w:w="691"/>
        <w:gridCol w:w="116"/>
        <w:gridCol w:w="162"/>
        <w:gridCol w:w="121"/>
        <w:gridCol w:w="158"/>
        <w:gridCol w:w="126"/>
        <w:gridCol w:w="291"/>
        <w:gridCol w:w="134"/>
        <w:gridCol w:w="6"/>
        <w:gridCol w:w="136"/>
        <w:gridCol w:w="560"/>
        <w:gridCol w:w="149"/>
        <w:gridCol w:w="548"/>
        <w:gridCol w:w="160"/>
      </w:tblGrid>
      <w:tr>
        <w:tblPrEx>
          <w:tblCellMar>
            <w:top w:w="0" w:type="dxa"/>
            <w:left w:w="108" w:type="dxa"/>
            <w:bottom w:w="0" w:type="dxa"/>
            <w:right w:w="108" w:type="dxa"/>
          </w:tblCellMar>
        </w:tblPrEx>
        <w:trPr>
          <w:trHeight w:val="454" w:hRule="exact"/>
          <w:jc w:val="center"/>
        </w:trPr>
        <w:tc>
          <w:tcPr>
            <w:tcW w:w="9080" w:type="dxa"/>
            <w:gridSpan w:val="30"/>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30"/>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2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建材园综合运营经费</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83</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64.47</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64.47</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83</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64.47</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64.47</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园区绿化养护、安全生产巡园、变压器维修、下水道清理、</w:t>
            </w:r>
          </w:p>
        </w:tc>
        <w:tc>
          <w:tcPr>
            <w:tcW w:w="3402"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已完成</w:t>
            </w:r>
          </w:p>
        </w:tc>
      </w:tr>
      <w:tr>
        <w:tblPrEx>
          <w:tblCellMar>
            <w:top w:w="0" w:type="dxa"/>
            <w:left w:w="108" w:type="dxa"/>
            <w:bottom w:w="0" w:type="dxa"/>
            <w:right w:w="108" w:type="dxa"/>
          </w:tblCellMar>
        </w:tblPrEx>
        <w:trPr>
          <w:trHeight w:val="533" w:hRule="exact"/>
          <w:jc w:val="center"/>
        </w:trPr>
        <w:tc>
          <w:tcPr>
            <w:tcW w:w="588"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决策过程指标</w:t>
            </w:r>
          </w:p>
        </w:tc>
        <w:tc>
          <w:tcPr>
            <w:tcW w:w="1112"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项目立项</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立项依据充分性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符合各项依据</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立项程序规范性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符合程序规范</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绩效目标</w:t>
            </w:r>
          </w:p>
          <w:p>
            <w:pPr>
              <w:widowControl/>
              <w:spacing w:line="240" w:lineRule="exact"/>
              <w:jc w:val="center"/>
              <w:rPr>
                <w:rFonts w:hint="eastAsia" w:ascii="宋体" w:hAnsi="宋体" w:eastAsia="宋体" w:cs="宋体"/>
                <w:kern w:val="0"/>
                <w:sz w:val="18"/>
                <w:szCs w:val="18"/>
                <w:lang w:eastAsia="zh-CN"/>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资金投入</w:t>
            </w:r>
          </w:p>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加强预算编制科学合理性</w:t>
            </w: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资金管理</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落实支付</w:t>
            </w: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组织实施</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管理制度健全性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健全</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7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制度执行有效性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健全</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产出</w:t>
            </w:r>
            <w:r>
              <w:rPr>
                <w:rFonts w:hint="eastAsia" w:ascii="宋体" w:hAnsi="宋体" w:eastAsia="宋体" w:cs="宋体"/>
                <w:kern w:val="0"/>
                <w:sz w:val="18"/>
                <w:szCs w:val="18"/>
              </w:rPr>
              <w:t>指标</w:t>
            </w: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产出数量</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实际完成率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产出质量</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质量达标率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继续改进</w:t>
            </w: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产出时效 </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完成及时性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年底前</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加紧进度</w:t>
            </w: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产出成本</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成本节约率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有效节约</w:t>
            </w:r>
          </w:p>
        </w:tc>
      </w:tr>
      <w:tr>
        <w:tblPrEx>
          <w:tblCellMar>
            <w:top w:w="0" w:type="dxa"/>
            <w:left w:w="108" w:type="dxa"/>
            <w:bottom w:w="0" w:type="dxa"/>
            <w:right w:w="108" w:type="dxa"/>
          </w:tblCellMar>
        </w:tblPrEx>
        <w:trPr>
          <w:trHeight w:val="43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效益</w:t>
            </w:r>
            <w:r>
              <w:rPr>
                <w:rFonts w:hint="eastAsia" w:ascii="宋体" w:hAnsi="宋体" w:eastAsia="宋体" w:cs="宋体"/>
                <w:kern w:val="0"/>
                <w:sz w:val="18"/>
                <w:szCs w:val="18"/>
              </w:rPr>
              <w:t>指标</w:t>
            </w: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项目效益</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实施效益</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90%以上</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改善环境</w:t>
            </w: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90%以上</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增加满意度</w:t>
            </w:r>
          </w:p>
        </w:tc>
      </w:tr>
      <w:tr>
        <w:tblPrEx>
          <w:tblCellMar>
            <w:top w:w="0" w:type="dxa"/>
            <w:left w:w="108" w:type="dxa"/>
            <w:bottom w:w="0" w:type="dxa"/>
            <w:right w:w="108" w:type="dxa"/>
          </w:tblCellMar>
        </w:tblPrEx>
        <w:trPr>
          <w:trHeight w:val="300" w:hRule="exact"/>
          <w:jc w:val="center"/>
        </w:trPr>
        <w:tc>
          <w:tcPr>
            <w:tcW w:w="6529" w:type="dxa"/>
            <w:gridSpan w:val="1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9080" w:type="dxa"/>
            <w:gridSpan w:val="30"/>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429" w:hRule="atLeast"/>
          <w:jc w:val="center"/>
        </w:trPr>
        <w:tc>
          <w:tcPr>
            <w:tcW w:w="9080" w:type="dxa"/>
            <w:gridSpan w:val="30"/>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26"/>
            <w:tcBorders>
              <w:top w:val="single" w:color="auto" w:sz="4" w:space="0"/>
              <w:left w:val="nil"/>
              <w:bottom w:val="single" w:color="auto" w:sz="4" w:space="0"/>
              <w:right w:val="single" w:color="auto" w:sz="4" w:space="0"/>
            </w:tcBorders>
            <w:noWrap w:val="0"/>
            <w:vAlign w:val="center"/>
          </w:tcPr>
          <w:p>
            <w:pPr>
              <w:widowControl/>
              <w:spacing w:line="240" w:lineRule="exac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2023年金凤区高质量发展重大战略研究咨询</w:t>
            </w:r>
            <w:r>
              <w:rPr>
                <w:rFonts w:hint="eastAsia" w:ascii="宋体" w:hAnsi="宋体" w:eastAsia="宋体" w:cs="宋体"/>
                <w:kern w:val="0"/>
                <w:sz w:val="18"/>
                <w:szCs w:val="18"/>
              </w:rPr>
              <w:t>项目</w:t>
            </w:r>
            <w:r>
              <w:rPr>
                <w:rFonts w:hint="eastAsia" w:ascii="宋体" w:hAnsi="宋体" w:eastAsia="宋体" w:cs="宋体"/>
                <w:kern w:val="0"/>
                <w:sz w:val="18"/>
                <w:szCs w:val="18"/>
                <w:lang w:val="en-US" w:eastAsia="zh-CN"/>
              </w:rPr>
              <w:t>清理欠款</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5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金凤区财政局</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金凤区发展和改革局</w:t>
            </w:r>
          </w:p>
        </w:tc>
      </w:tr>
      <w:tr>
        <w:tblPrEx>
          <w:tblCellMar>
            <w:top w:w="0" w:type="dxa"/>
            <w:left w:w="108" w:type="dxa"/>
            <w:bottom w:w="0" w:type="dxa"/>
            <w:right w:w="108" w:type="dxa"/>
          </w:tblCellMar>
        </w:tblPrEx>
        <w:trPr>
          <w:trHeight w:val="300" w:hRule="exact"/>
          <w:jc w:val="center"/>
        </w:trPr>
        <w:tc>
          <w:tcPr>
            <w:tcW w:w="156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34"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58"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325" w:hRule="exact"/>
          <w:jc w:val="center"/>
        </w:trPr>
        <w:tc>
          <w:tcPr>
            <w:tcW w:w="588"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34"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清理以2023年金凤区高质量发展重大战略研究咨询</w:t>
            </w:r>
            <w:r>
              <w:rPr>
                <w:rFonts w:hint="eastAsia" w:ascii="宋体" w:hAnsi="宋体" w:eastAsia="宋体" w:cs="宋体"/>
                <w:kern w:val="0"/>
                <w:sz w:val="18"/>
                <w:szCs w:val="18"/>
              </w:rPr>
              <w:t>项目</w:t>
            </w:r>
            <w:r>
              <w:rPr>
                <w:rFonts w:hint="eastAsia" w:ascii="宋体" w:hAnsi="宋体" w:eastAsia="宋体" w:cs="宋体"/>
                <w:kern w:val="0"/>
                <w:sz w:val="18"/>
                <w:szCs w:val="18"/>
                <w:lang w:val="en-US" w:eastAsia="zh-CN"/>
              </w:rPr>
              <w:t>清理欠款欠款</w:t>
            </w:r>
          </w:p>
        </w:tc>
        <w:tc>
          <w:tcPr>
            <w:tcW w:w="3358"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完成以前年度欠款</w:t>
            </w:r>
          </w:p>
        </w:tc>
      </w:tr>
      <w:tr>
        <w:tblPrEx>
          <w:tblCellMar>
            <w:top w:w="0" w:type="dxa"/>
            <w:left w:w="108" w:type="dxa"/>
            <w:bottom w:w="0" w:type="dxa"/>
            <w:right w:w="108" w:type="dxa"/>
          </w:tblCellMar>
        </w:tblPrEx>
        <w:trPr>
          <w:trHeight w:val="533" w:hRule="exact"/>
          <w:jc w:val="center"/>
        </w:trPr>
        <w:tc>
          <w:tcPr>
            <w:tcW w:w="588"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1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决策过程指标</w:t>
            </w:r>
          </w:p>
        </w:tc>
        <w:tc>
          <w:tcPr>
            <w:tcW w:w="1112"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项目立项</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立项依据充分性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符合各项依据</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部分符合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立项程序规范性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符合程序规范</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绩效目标</w:t>
            </w:r>
          </w:p>
          <w:p>
            <w:pPr>
              <w:widowControl/>
              <w:spacing w:line="240" w:lineRule="exact"/>
              <w:jc w:val="center"/>
              <w:rPr>
                <w:rFonts w:hint="eastAsia" w:ascii="宋体" w:hAnsi="宋体" w:eastAsia="宋体" w:cs="宋体"/>
                <w:kern w:val="0"/>
                <w:sz w:val="18"/>
                <w:szCs w:val="18"/>
                <w:lang w:eastAsia="zh-CN"/>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资金投入</w:t>
            </w:r>
          </w:p>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5"/>
                <w:szCs w:val="15"/>
                <w:lang w:val="en-US" w:eastAsia="zh-CN"/>
              </w:rPr>
              <w:t>清理以前年度欠款，未进行科学论</w:t>
            </w:r>
            <w:r>
              <w:rPr>
                <w:rFonts w:hint="eastAsia" w:ascii="宋体" w:hAnsi="宋体" w:eastAsia="宋体" w:cs="宋体"/>
                <w:kern w:val="0"/>
                <w:sz w:val="18"/>
                <w:szCs w:val="18"/>
                <w:lang w:val="en-US" w:eastAsia="zh-CN"/>
              </w:rPr>
              <w:t>证</w:t>
            </w: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资金管理</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1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组织实施</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管理制度健全性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7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制度执行有效性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产出</w:t>
            </w:r>
            <w:r>
              <w:rPr>
                <w:rFonts w:hint="eastAsia" w:ascii="宋体" w:hAnsi="宋体" w:eastAsia="宋体" w:cs="宋体"/>
                <w:kern w:val="0"/>
                <w:sz w:val="18"/>
                <w:szCs w:val="18"/>
              </w:rPr>
              <w:t>指标</w:t>
            </w: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产出数量</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实际完成率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产出质量</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质量达标率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产出时效 </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完成及时性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年底前</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产出成本</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成本节约率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26"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效益</w:t>
            </w:r>
            <w:r>
              <w:rPr>
                <w:rFonts w:hint="eastAsia" w:ascii="宋体" w:hAnsi="宋体" w:eastAsia="宋体" w:cs="宋体"/>
                <w:kern w:val="0"/>
                <w:sz w:val="18"/>
                <w:szCs w:val="18"/>
              </w:rPr>
              <w:t>指标</w:t>
            </w: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项目效益</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实施效益</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90%以上</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项目产生的社会效益、经济效益、生态效益、可持续影响等不及预期</w:t>
            </w: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90%以上</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5"/>
                <w:szCs w:val="15"/>
                <w:lang w:val="en-US" w:eastAsia="zh-CN"/>
              </w:rPr>
            </w:pPr>
          </w:p>
        </w:tc>
      </w:tr>
      <w:tr>
        <w:tblPrEx>
          <w:tblCellMar>
            <w:top w:w="0" w:type="dxa"/>
            <w:left w:w="108" w:type="dxa"/>
            <w:bottom w:w="0" w:type="dxa"/>
            <w:right w:w="108" w:type="dxa"/>
          </w:tblCellMar>
        </w:tblPrEx>
        <w:trPr>
          <w:trHeight w:val="300" w:hRule="exact"/>
          <w:jc w:val="center"/>
        </w:trPr>
        <w:tc>
          <w:tcPr>
            <w:tcW w:w="6529" w:type="dxa"/>
            <w:gridSpan w:val="1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9080" w:type="dxa"/>
            <w:gridSpan w:val="30"/>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30"/>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2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金凤区黄河流域高质量发展先行区成果展厅项目施工</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5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金凤区财政局</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金凤区发展和改革局</w:t>
            </w:r>
          </w:p>
        </w:tc>
      </w:tr>
      <w:tr>
        <w:tblPrEx>
          <w:tblCellMar>
            <w:top w:w="0" w:type="dxa"/>
            <w:left w:w="108" w:type="dxa"/>
            <w:bottom w:w="0" w:type="dxa"/>
            <w:right w:w="108" w:type="dxa"/>
          </w:tblCellMar>
        </w:tblPrEx>
        <w:trPr>
          <w:trHeight w:val="300" w:hRule="exact"/>
          <w:jc w:val="center"/>
        </w:trPr>
        <w:tc>
          <w:tcPr>
            <w:tcW w:w="156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42.09</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78"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34"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58"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34"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完成金凤区黄河流域高质量发展先行区成果展厅项目施工预案</w:t>
            </w:r>
          </w:p>
        </w:tc>
        <w:tc>
          <w:tcPr>
            <w:tcW w:w="3358"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完成当年的预计目标</w:t>
            </w:r>
          </w:p>
        </w:tc>
      </w:tr>
      <w:tr>
        <w:tblPrEx>
          <w:tblCellMar>
            <w:top w:w="0" w:type="dxa"/>
            <w:left w:w="108" w:type="dxa"/>
            <w:bottom w:w="0" w:type="dxa"/>
            <w:right w:w="108" w:type="dxa"/>
          </w:tblCellMar>
        </w:tblPrEx>
        <w:trPr>
          <w:trHeight w:val="533" w:hRule="exact"/>
          <w:jc w:val="center"/>
        </w:trPr>
        <w:tc>
          <w:tcPr>
            <w:tcW w:w="588"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1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决策过程指标</w:t>
            </w:r>
          </w:p>
        </w:tc>
        <w:tc>
          <w:tcPr>
            <w:tcW w:w="1112"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项目立项</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立项依据充分性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符合各项依据</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部分符合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5"/>
                <w:szCs w:val="15"/>
                <w:lang w:val="en-US" w:eastAsia="zh-CN"/>
              </w:rPr>
              <w:t>此项目不属于国民经济发展规划</w:t>
            </w: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立项程序规范性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符合程序规范</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绩效目标</w:t>
            </w:r>
          </w:p>
          <w:p>
            <w:pPr>
              <w:widowControl/>
              <w:spacing w:line="240" w:lineRule="exact"/>
              <w:jc w:val="center"/>
              <w:rPr>
                <w:rFonts w:hint="eastAsia" w:ascii="宋体" w:hAnsi="宋体" w:eastAsia="宋体" w:cs="宋体"/>
                <w:kern w:val="0"/>
                <w:sz w:val="18"/>
                <w:szCs w:val="18"/>
                <w:lang w:eastAsia="zh-CN"/>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资金投入</w:t>
            </w:r>
          </w:p>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编制未优化</w:t>
            </w: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资金分配待优化</w:t>
            </w: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资金管理</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组织实施</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管理制度健全性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7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制度执行有效性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产出</w:t>
            </w:r>
            <w:r>
              <w:rPr>
                <w:rFonts w:hint="eastAsia" w:ascii="宋体" w:hAnsi="宋体" w:eastAsia="宋体" w:cs="宋体"/>
                <w:kern w:val="0"/>
                <w:sz w:val="18"/>
                <w:szCs w:val="18"/>
              </w:rPr>
              <w:t>指标</w:t>
            </w: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产出数量</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实际完成率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施工进度落后</w:t>
            </w: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产出质量</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质量达标率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已提出整改方案</w:t>
            </w: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产出时效 </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完成及时性</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年底前</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施工进度落后</w:t>
            </w: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产出成本</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成本节约率</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效益</w:t>
            </w:r>
            <w:r>
              <w:rPr>
                <w:rFonts w:hint="eastAsia" w:ascii="宋体" w:hAnsi="宋体" w:eastAsia="宋体" w:cs="宋体"/>
                <w:kern w:val="0"/>
                <w:sz w:val="18"/>
                <w:szCs w:val="18"/>
              </w:rPr>
              <w:t>指标</w:t>
            </w: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项目效益</w:t>
            </w: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实施效益</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90%以上</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5"/>
                <w:szCs w:val="15"/>
                <w:lang w:val="en-US" w:eastAsia="zh-CN"/>
              </w:rPr>
              <w:t>没有产生生态效益</w:t>
            </w: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w:t>
            </w:r>
          </w:p>
        </w:tc>
        <w:tc>
          <w:tcPr>
            <w:tcW w:w="1365" w:type="dxa"/>
            <w:gridSpan w:val="7"/>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90%以上</w:t>
            </w:r>
          </w:p>
        </w:tc>
        <w:tc>
          <w:tcPr>
            <w:tcW w:w="8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1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9080" w:type="dxa"/>
            <w:gridSpan w:val="30"/>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30"/>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2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金凤区发展和改革局档案整理和数字化加工处理项目经费</w:t>
            </w:r>
          </w:p>
        </w:tc>
      </w:tr>
      <w:tr>
        <w:tblPrEx>
          <w:tblCellMar>
            <w:top w:w="0" w:type="dxa"/>
            <w:left w:w="108" w:type="dxa"/>
            <w:bottom w:w="0" w:type="dxa"/>
            <w:right w:w="108" w:type="dxa"/>
          </w:tblCellMar>
        </w:tblPrEx>
        <w:trPr>
          <w:trHeight w:val="300" w:hRule="exact"/>
          <w:jc w:val="center"/>
        </w:trPr>
        <w:tc>
          <w:tcPr>
            <w:tcW w:w="156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金凤区财政局</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金凤区发展和改革局</w:t>
            </w:r>
          </w:p>
        </w:tc>
      </w:tr>
      <w:tr>
        <w:tblPrEx>
          <w:tblCellMar>
            <w:top w:w="0" w:type="dxa"/>
            <w:left w:w="108" w:type="dxa"/>
            <w:bottom w:w="0" w:type="dxa"/>
            <w:right w:w="108" w:type="dxa"/>
          </w:tblCellMar>
        </w:tblPrEx>
        <w:trPr>
          <w:trHeight w:val="300" w:hRule="exact"/>
          <w:jc w:val="center"/>
        </w:trPr>
        <w:tc>
          <w:tcPr>
            <w:tcW w:w="156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5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70</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70</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70</w:t>
            </w: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实现档案快速、高效、安全以及规范化管理</w:t>
            </w:r>
          </w:p>
        </w:tc>
        <w:tc>
          <w:tcPr>
            <w:tcW w:w="3402"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加快健全部门档案数字化整体规划体系，实现档案快速高效安全以及规范化管理</w:t>
            </w:r>
          </w:p>
        </w:tc>
      </w:tr>
      <w:tr>
        <w:tblPrEx>
          <w:tblCellMar>
            <w:top w:w="0" w:type="dxa"/>
            <w:left w:w="108" w:type="dxa"/>
            <w:bottom w:w="0" w:type="dxa"/>
            <w:right w:w="108" w:type="dxa"/>
          </w:tblCellMar>
        </w:tblPrEx>
        <w:trPr>
          <w:trHeight w:val="533" w:hRule="exact"/>
          <w:jc w:val="center"/>
        </w:trPr>
        <w:tc>
          <w:tcPr>
            <w:tcW w:w="588"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决策过程指标</w:t>
            </w:r>
          </w:p>
        </w:tc>
        <w:tc>
          <w:tcPr>
            <w:tcW w:w="1112"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项目立项</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立项依据充分性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立项依据充分性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符合各项依据</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立项程序规范性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立项程序规范性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符合程序规范</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绩效目标</w:t>
            </w:r>
          </w:p>
          <w:p>
            <w:pPr>
              <w:widowControl/>
              <w:spacing w:line="240" w:lineRule="exact"/>
              <w:jc w:val="center"/>
              <w:rPr>
                <w:rFonts w:hint="eastAsia" w:ascii="宋体" w:hAnsi="宋体" w:eastAsia="宋体" w:cs="宋体"/>
                <w:kern w:val="0"/>
                <w:sz w:val="18"/>
                <w:szCs w:val="18"/>
                <w:lang w:eastAsia="zh-CN"/>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资金投入</w:t>
            </w:r>
          </w:p>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9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符合</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6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资金管理</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组织实施</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管理制度健全性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管理制度健全性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健全</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7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制度执行有效性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制度执行有效性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健全</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产出</w:t>
            </w:r>
            <w:r>
              <w:rPr>
                <w:rFonts w:hint="eastAsia" w:ascii="宋体" w:hAnsi="宋体" w:eastAsia="宋体" w:cs="宋体"/>
                <w:kern w:val="0"/>
                <w:sz w:val="18"/>
                <w:szCs w:val="18"/>
              </w:rPr>
              <w:t>指标</w:t>
            </w: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产出数量</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实际完成率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实际完成率</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8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产出质量</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质量达标率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质量达标率</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产出时效 </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完成及时性</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完成及时性</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年底前</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0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产出成本</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成本节约率</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成本节约率</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5"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效益</w:t>
            </w:r>
            <w:r>
              <w:rPr>
                <w:rFonts w:hint="eastAsia" w:ascii="宋体" w:hAnsi="宋体" w:eastAsia="宋体" w:cs="宋体"/>
                <w:kern w:val="0"/>
                <w:sz w:val="18"/>
                <w:szCs w:val="18"/>
              </w:rPr>
              <w:t>指标</w:t>
            </w:r>
          </w:p>
        </w:tc>
        <w:tc>
          <w:tcPr>
            <w:tcW w:w="1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项目效益</w:t>
            </w: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实施效益</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实施效益</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90%以上</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满意度</w:t>
            </w:r>
          </w:p>
        </w:tc>
        <w:tc>
          <w:tcPr>
            <w:tcW w:w="85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90%以上</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300" w:hRule="exact"/>
          <w:jc w:val="center"/>
        </w:trPr>
        <w:tc>
          <w:tcPr>
            <w:tcW w:w="6529" w:type="dxa"/>
            <w:gridSpan w:val="1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94</w:t>
            </w:r>
          </w:p>
        </w:tc>
        <w:tc>
          <w:tcPr>
            <w:tcW w:w="1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r>
      <w:tr>
        <w:tblPrEx>
          <w:tblCellMar>
            <w:top w:w="0" w:type="dxa"/>
            <w:left w:w="108" w:type="dxa"/>
            <w:bottom w:w="0" w:type="dxa"/>
            <w:right w:w="108" w:type="dxa"/>
          </w:tblCellMar>
        </w:tblPrEx>
        <w:trPr>
          <w:gridAfter w:val="1"/>
          <w:wAfter w:w="160" w:type="dxa"/>
          <w:trHeight w:val="448" w:hRule="exact"/>
          <w:jc w:val="center"/>
        </w:trPr>
        <w:tc>
          <w:tcPr>
            <w:tcW w:w="8920" w:type="dxa"/>
            <w:gridSpan w:val="29"/>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gridAfter w:val="1"/>
          <w:wAfter w:w="160" w:type="dxa"/>
          <w:trHeight w:val="403" w:hRule="atLeast"/>
          <w:jc w:val="center"/>
        </w:trPr>
        <w:tc>
          <w:tcPr>
            <w:tcW w:w="8920" w:type="dxa"/>
            <w:gridSpan w:val="29"/>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0" w:type="dxa"/>
            <w:gridSpan w:val="2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2023年经济形势分析会宣传片</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37"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金凤区财政局</w:t>
            </w: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29"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金凤区发展和改革局</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0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0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1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0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1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0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60" w:type="dxa"/>
          <w:trHeight w:val="296" w:hRule="exact"/>
          <w:jc w:val="center"/>
        </w:trPr>
        <w:tc>
          <w:tcPr>
            <w:tcW w:w="15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0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4"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6"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gridAfter w:val="1"/>
          <w:wAfter w:w="160" w:type="dxa"/>
          <w:trHeight w:val="296" w:hRule="exact"/>
          <w:jc w:val="center"/>
        </w:trPr>
        <w:tc>
          <w:tcPr>
            <w:tcW w:w="57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3"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gridAfter w:val="1"/>
          <w:wAfter w:w="160" w:type="dxa"/>
          <w:trHeight w:val="589" w:hRule="exact"/>
          <w:jc w:val="center"/>
        </w:trPr>
        <w:tc>
          <w:tcPr>
            <w:tcW w:w="57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0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val="en-US" w:eastAsia="zh-CN"/>
              </w:rPr>
              <w:t>介绍上半年经济指标完成情况、特色亮点工作、重大项目建设情况及下一步推进措施等，时长8分钟以内</w:t>
            </w:r>
          </w:p>
        </w:tc>
        <w:tc>
          <w:tcPr>
            <w:tcW w:w="3343"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r>
      <w:tr>
        <w:tblPrEx>
          <w:tblCellMar>
            <w:top w:w="0" w:type="dxa"/>
            <w:left w:w="108" w:type="dxa"/>
            <w:bottom w:w="0" w:type="dxa"/>
            <w:right w:w="108" w:type="dxa"/>
          </w:tblCellMar>
        </w:tblPrEx>
        <w:trPr>
          <w:gridAfter w:val="1"/>
          <w:wAfter w:w="160" w:type="dxa"/>
          <w:trHeight w:val="526" w:hRule="exact"/>
          <w:jc w:val="center"/>
        </w:trPr>
        <w:tc>
          <w:tcPr>
            <w:tcW w:w="577"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gridAfter w:val="1"/>
          <w:wAfter w:w="160" w:type="dxa"/>
          <w:trHeight w:val="488"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决策过程指标</w:t>
            </w:r>
          </w:p>
        </w:tc>
        <w:tc>
          <w:tcPr>
            <w:tcW w:w="1092"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项目立项</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立项依据充分性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符合各项依据</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符合各项依据</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7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立项程序规范性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符合程序规范</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符合程序规范</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50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绩效目标</w:t>
            </w:r>
          </w:p>
          <w:p>
            <w:pPr>
              <w:widowControl/>
              <w:spacing w:line="240" w:lineRule="exact"/>
              <w:jc w:val="center"/>
              <w:rPr>
                <w:rFonts w:hint="eastAsia" w:ascii="宋体" w:hAnsi="宋体" w:eastAsia="宋体" w:cs="宋体"/>
                <w:kern w:val="0"/>
                <w:sz w:val="18"/>
                <w:szCs w:val="18"/>
                <w:lang w:eastAsia="zh-CN"/>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目标合理性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59"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指标明确性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518"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资金投入</w:t>
            </w:r>
          </w:p>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预算编制科学性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88"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资金分配合理性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符合</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59"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资金管理</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资金到位率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7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预算执行率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7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资金使用合规性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385"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组织实施</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管理制度健全性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健全</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370"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制度执行有效性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健全</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7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产出</w:t>
            </w:r>
            <w:r>
              <w:rPr>
                <w:rFonts w:hint="eastAsia" w:ascii="宋体" w:hAnsi="宋体" w:eastAsia="宋体" w:cs="宋体"/>
                <w:kern w:val="0"/>
                <w:sz w:val="18"/>
                <w:szCs w:val="18"/>
              </w:rPr>
              <w:t>指标</w:t>
            </w: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产出数量</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实际完成率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73"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产出质量</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质量达标率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00"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产出时效 </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完成及时性</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年底前</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00"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产出成本</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成本节约率</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90%</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429"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效益</w:t>
            </w:r>
            <w:r>
              <w:rPr>
                <w:rFonts w:hint="eastAsia" w:ascii="宋体" w:hAnsi="宋体" w:eastAsia="宋体" w:cs="宋体"/>
                <w:kern w:val="0"/>
                <w:sz w:val="18"/>
                <w:szCs w:val="18"/>
              </w:rPr>
              <w:t>指标</w:t>
            </w:r>
          </w:p>
        </w:tc>
        <w:tc>
          <w:tcPr>
            <w:tcW w:w="1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项目效益</w:t>
            </w: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实施效益</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90%以上</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385" w:hRule="exact"/>
          <w:jc w:val="center"/>
        </w:trPr>
        <w:tc>
          <w:tcPr>
            <w:tcW w:w="577"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63" w:type="dxa"/>
            <w:gridSpan w:val="2"/>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1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满意度</w:t>
            </w:r>
          </w:p>
        </w:tc>
        <w:tc>
          <w:tcPr>
            <w:tcW w:w="8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90%以上</w:t>
            </w:r>
          </w:p>
        </w:tc>
        <w:tc>
          <w:tcPr>
            <w:tcW w:w="83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gridAfter w:val="1"/>
          <w:wAfter w:w="160" w:type="dxa"/>
          <w:trHeight w:val="306" w:hRule="exact"/>
          <w:jc w:val="center"/>
        </w:trPr>
        <w:tc>
          <w:tcPr>
            <w:tcW w:w="6413" w:type="dxa"/>
            <w:gridSpan w:val="1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139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spacing w:line="560" w:lineRule="exact"/>
        <w:ind w:firstLine="640" w:firstLineChars="200"/>
        <w:outlineLvl w:val="1"/>
        <w:rPr>
          <w:rFonts w:eastAsia="仿宋_GB2312"/>
          <w:kern w:val="0"/>
          <w:sz w:val="32"/>
          <w:szCs w:val="32"/>
        </w:rPr>
      </w:pPr>
    </w:p>
    <w:p>
      <w:pPr>
        <w:snapToGrid w:val="0"/>
        <w:spacing w:line="560" w:lineRule="exact"/>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YTg3MjI5MDAxMzU1OWRmOTllZWNlYjA5MGRkZTU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C1525"/>
    <w:rsid w:val="040D666A"/>
    <w:rsid w:val="04441D61"/>
    <w:rsid w:val="04A6745F"/>
    <w:rsid w:val="04BC3FEE"/>
    <w:rsid w:val="0946583B"/>
    <w:rsid w:val="09AC4531"/>
    <w:rsid w:val="0B5C49A1"/>
    <w:rsid w:val="0BF423F2"/>
    <w:rsid w:val="10480E2B"/>
    <w:rsid w:val="10AD0C8E"/>
    <w:rsid w:val="115A0E16"/>
    <w:rsid w:val="11867E5D"/>
    <w:rsid w:val="12CD545B"/>
    <w:rsid w:val="134511F7"/>
    <w:rsid w:val="14261483"/>
    <w:rsid w:val="15A037CC"/>
    <w:rsid w:val="15E34D4B"/>
    <w:rsid w:val="18D37B0D"/>
    <w:rsid w:val="19211699"/>
    <w:rsid w:val="1AB770F8"/>
    <w:rsid w:val="1B854AA1"/>
    <w:rsid w:val="1C836E02"/>
    <w:rsid w:val="1DF24184"/>
    <w:rsid w:val="20BC1330"/>
    <w:rsid w:val="20C13626"/>
    <w:rsid w:val="217355DC"/>
    <w:rsid w:val="22CF0F38"/>
    <w:rsid w:val="232474D6"/>
    <w:rsid w:val="234D2A40"/>
    <w:rsid w:val="24C96CD1"/>
    <w:rsid w:val="265E57E0"/>
    <w:rsid w:val="26770064"/>
    <w:rsid w:val="26D65F40"/>
    <w:rsid w:val="2AB2772C"/>
    <w:rsid w:val="2BAC7E8F"/>
    <w:rsid w:val="2CAD7700"/>
    <w:rsid w:val="2CE87E3E"/>
    <w:rsid w:val="2CED6B8B"/>
    <w:rsid w:val="2F4F58DB"/>
    <w:rsid w:val="30664910"/>
    <w:rsid w:val="339F4AAA"/>
    <w:rsid w:val="33BC222F"/>
    <w:rsid w:val="343457B0"/>
    <w:rsid w:val="3524554B"/>
    <w:rsid w:val="357C6753"/>
    <w:rsid w:val="363475D8"/>
    <w:rsid w:val="384B3E24"/>
    <w:rsid w:val="3A7A7584"/>
    <w:rsid w:val="3C645466"/>
    <w:rsid w:val="3C8E0734"/>
    <w:rsid w:val="3CF615DE"/>
    <w:rsid w:val="3D85696B"/>
    <w:rsid w:val="3DE91B26"/>
    <w:rsid w:val="3E60543D"/>
    <w:rsid w:val="3F3C1AE3"/>
    <w:rsid w:val="3FCA4B09"/>
    <w:rsid w:val="40DE6ABE"/>
    <w:rsid w:val="42116A20"/>
    <w:rsid w:val="434150E2"/>
    <w:rsid w:val="4497022A"/>
    <w:rsid w:val="451F203D"/>
    <w:rsid w:val="456C0B61"/>
    <w:rsid w:val="45A7719E"/>
    <w:rsid w:val="460F771A"/>
    <w:rsid w:val="468074A8"/>
    <w:rsid w:val="470D1EAB"/>
    <w:rsid w:val="47E319DC"/>
    <w:rsid w:val="491F7C63"/>
    <w:rsid w:val="4A5E7E75"/>
    <w:rsid w:val="4BF22C3D"/>
    <w:rsid w:val="4DB0533F"/>
    <w:rsid w:val="4DEA6AA2"/>
    <w:rsid w:val="4F1A0296"/>
    <w:rsid w:val="4F8E16AF"/>
    <w:rsid w:val="4FB976A3"/>
    <w:rsid w:val="50DC04D0"/>
    <w:rsid w:val="52935EFE"/>
    <w:rsid w:val="52AA4194"/>
    <w:rsid w:val="539E1985"/>
    <w:rsid w:val="54C968E1"/>
    <w:rsid w:val="550408AC"/>
    <w:rsid w:val="576764AE"/>
    <w:rsid w:val="59F86F12"/>
    <w:rsid w:val="5BAE178C"/>
    <w:rsid w:val="5CFB76DC"/>
    <w:rsid w:val="5FB009D6"/>
    <w:rsid w:val="60DA29A7"/>
    <w:rsid w:val="61411B40"/>
    <w:rsid w:val="620A335B"/>
    <w:rsid w:val="62D81168"/>
    <w:rsid w:val="638E63B9"/>
    <w:rsid w:val="66BC67C3"/>
    <w:rsid w:val="66F978FF"/>
    <w:rsid w:val="672229B1"/>
    <w:rsid w:val="675E59B4"/>
    <w:rsid w:val="68336662"/>
    <w:rsid w:val="68A9378B"/>
    <w:rsid w:val="6B9D2F4E"/>
    <w:rsid w:val="6BD34B4C"/>
    <w:rsid w:val="6C783074"/>
    <w:rsid w:val="6CF939C2"/>
    <w:rsid w:val="6D51190A"/>
    <w:rsid w:val="6E04101A"/>
    <w:rsid w:val="70003AAC"/>
    <w:rsid w:val="70A95AA7"/>
    <w:rsid w:val="725D380C"/>
    <w:rsid w:val="7279549D"/>
    <w:rsid w:val="744F5002"/>
    <w:rsid w:val="74F33F23"/>
    <w:rsid w:val="75FE54D5"/>
    <w:rsid w:val="779C3243"/>
    <w:rsid w:val="788F1E71"/>
    <w:rsid w:val="78DB50B6"/>
    <w:rsid w:val="79872B48"/>
    <w:rsid w:val="7CE02C9B"/>
    <w:rsid w:val="7D0D0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autoRedefine/>
    <w:unhideWhenUsed/>
    <w:qFormat/>
    <w:uiPriority w:val="0"/>
    <w:pPr>
      <w:keepNext/>
      <w:keepLines/>
      <w:spacing w:line="413" w:lineRule="auto"/>
      <w:outlineLvl w:val="1"/>
    </w:pPr>
    <w:rPr>
      <w:rFonts w:ascii="Arial" w:hAnsi="Arial" w:eastAsia="黑体" w:cstheme="minorBidi"/>
      <w:b/>
      <w:sz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21"/>
    <w:autoRedefine/>
    <w:qFormat/>
    <w:uiPriority w:val="0"/>
    <w:pPr>
      <w:ind w:left="100" w:leftChars="2500"/>
    </w:pPr>
    <w:rPr>
      <w:rFonts w:ascii="Calibri" w:hAnsi="Calibri"/>
      <w:szCs w:val="22"/>
    </w:rPr>
  </w:style>
  <w:style w:type="paragraph" w:styleId="4">
    <w:name w:val="Balloon Text"/>
    <w:basedOn w:val="1"/>
    <w:link w:val="20"/>
    <w:unhideWhenUsed/>
    <w:qFormat/>
    <w:uiPriority w:val="0"/>
    <w:rPr>
      <w:sz w:val="18"/>
      <w:szCs w:val="18"/>
    </w:rPr>
  </w:style>
  <w:style w:type="paragraph" w:styleId="5">
    <w:name w:val="footer"/>
    <w:basedOn w:val="1"/>
    <w:link w:val="1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iPriority w:val="0"/>
    <w:pPr>
      <w:tabs>
        <w:tab w:val="right" w:leader="dot" w:pos="8920"/>
      </w:tabs>
      <w:spacing w:line="420" w:lineRule="exact"/>
      <w:ind w:left="1124" w:hanging="1124" w:hangingChars="400"/>
      <w:jc w:val="left"/>
    </w:pPr>
    <w:rPr>
      <w:rFonts w:ascii="方正仿宋_GBK" w:hAnsi="黑体" w:eastAsia="方正仿宋_GBK"/>
      <w:b/>
      <w:bCs/>
      <w:caps/>
      <w:spacing w:val="10"/>
      <w:sz w:val="28"/>
      <w:szCs w:val="28"/>
    </w:rPr>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18"/>
    <w:autoRedefine/>
    <w:qFormat/>
    <w:uiPriority w:val="0"/>
    <w:pPr>
      <w:spacing w:before="240" w:after="60"/>
      <w:jc w:val="center"/>
      <w:outlineLvl w:val="0"/>
    </w:pPr>
    <w:rPr>
      <w:rFonts w:ascii="Arial" w:hAnsi="Arial" w:cs="Arial"/>
      <w:b/>
      <w:bCs/>
      <w:sz w:val="32"/>
      <w:szCs w:val="32"/>
    </w:rPr>
  </w:style>
  <w:style w:type="table" w:styleId="11">
    <w:name w:val="Table Grid"/>
    <w:basedOn w:val="10"/>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页眉 Char"/>
    <w:basedOn w:val="12"/>
    <w:link w:val="6"/>
    <w:autoRedefine/>
    <w:qFormat/>
    <w:uiPriority w:val="99"/>
    <w:rPr>
      <w:sz w:val="18"/>
      <w:szCs w:val="18"/>
    </w:rPr>
  </w:style>
  <w:style w:type="character" w:customStyle="1" w:styleId="17">
    <w:name w:val="页脚 Char"/>
    <w:basedOn w:val="12"/>
    <w:link w:val="5"/>
    <w:autoRedefine/>
    <w:qFormat/>
    <w:uiPriority w:val="99"/>
    <w:rPr>
      <w:sz w:val="18"/>
      <w:szCs w:val="18"/>
    </w:rPr>
  </w:style>
  <w:style w:type="character" w:customStyle="1" w:styleId="18">
    <w:name w:val="标题 Char"/>
    <w:basedOn w:val="12"/>
    <w:link w:val="9"/>
    <w:autoRedefine/>
    <w:qFormat/>
    <w:uiPriority w:val="0"/>
    <w:rPr>
      <w:rFonts w:ascii="Arial" w:hAnsi="Arial" w:eastAsia="宋体" w:cs="Arial"/>
      <w:b/>
      <w:bCs/>
      <w:sz w:val="32"/>
      <w:szCs w:val="32"/>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批注框文本 Char"/>
    <w:basedOn w:val="12"/>
    <w:link w:val="4"/>
    <w:autoRedefine/>
    <w:qFormat/>
    <w:uiPriority w:val="0"/>
    <w:rPr>
      <w:rFonts w:ascii="Times New Roman" w:hAnsi="Times New Roman" w:eastAsia="宋体" w:cs="Times New Roman"/>
      <w:sz w:val="18"/>
      <w:szCs w:val="18"/>
    </w:rPr>
  </w:style>
  <w:style w:type="character" w:customStyle="1" w:styleId="21">
    <w:name w:val="日期 Char"/>
    <w:basedOn w:val="12"/>
    <w:link w:val="3"/>
    <w:autoRedefine/>
    <w:qFormat/>
    <w:uiPriority w:val="0"/>
    <w:rPr>
      <w:rFonts w:ascii="Calibri" w:hAnsi="Calibri" w:eastAsia="宋体" w:cs="Times New Roman"/>
    </w:rPr>
  </w:style>
  <w:style w:type="character" w:customStyle="1" w:styleId="22">
    <w:name w:val="font31"/>
    <w:qFormat/>
    <w:uiPriority w:val="0"/>
    <w:rPr>
      <w:rFonts w:ascii="仿宋_GB2312" w:eastAsia="仿宋_GB2312" w:cs="仿宋_GB2312"/>
      <w:color w:val="000000"/>
      <w:sz w:val="22"/>
      <w:szCs w:val="22"/>
      <w:u w:val="none"/>
    </w:rPr>
  </w:style>
  <w:style w:type="paragraph" w:customStyle="1" w:styleId="23">
    <w:name w:val="Char Char Char Char Char Char Char"/>
    <w:basedOn w:val="1"/>
    <w:autoRedefine/>
    <w:qFormat/>
    <w:uiPriority w:val="0"/>
    <w:rPr>
      <w:rFonts w:ascii="Calibri" w:hAnsi="Calibri"/>
    </w:rPr>
  </w:style>
  <w:style w:type="paragraph" w:styleId="24">
    <w:name w:val="List Paragraph"/>
    <w:basedOn w:val="1"/>
    <w:qFormat/>
    <w:uiPriority w:val="34"/>
    <w:pPr>
      <w:ind w:firstLine="420" w:firstLineChars="200"/>
    </w:pPr>
  </w:style>
  <w:style w:type="character" w:customStyle="1" w:styleId="25">
    <w:name w:val="标题 2 Char"/>
    <w:basedOn w:val="12"/>
    <w:link w:val="2"/>
    <w:qFormat/>
    <w:uiPriority w:val="0"/>
    <w:rPr>
      <w:rFonts w:ascii="Arial" w:hAnsi="Arial" w:eastAsia="黑体"/>
      <w:b/>
      <w:sz w:val="32"/>
      <w:szCs w:val="24"/>
    </w:rPr>
  </w:style>
  <w:style w:type="character" w:customStyle="1" w:styleId="26">
    <w:name w:val="font21"/>
    <w:basedOn w:val="12"/>
    <w:qFormat/>
    <w:uiPriority w:val="0"/>
    <w:rPr>
      <w:rFonts w:hint="eastAsia" w:ascii="宋体" w:hAnsi="宋体" w:eastAsia="宋体" w:cs="宋体"/>
      <w:color w:val="000000"/>
      <w:sz w:val="18"/>
      <w:szCs w:val="18"/>
      <w:u w:val="none"/>
    </w:rPr>
  </w:style>
  <w:style w:type="character" w:customStyle="1" w:styleId="27">
    <w:name w:val="font41"/>
    <w:basedOn w:val="12"/>
    <w:autoRedefine/>
    <w:qFormat/>
    <w:uiPriority w:val="0"/>
    <w:rPr>
      <w:rFonts w:hint="eastAsia" w:ascii="宋体" w:hAnsi="宋体" w:eastAsia="宋体" w:cs="宋体"/>
      <w:color w:val="000000"/>
      <w:sz w:val="24"/>
      <w:szCs w:val="24"/>
      <w:u w:val="none"/>
    </w:rPr>
  </w:style>
  <w:style w:type="character" w:customStyle="1" w:styleId="28">
    <w:name w:val="font51"/>
    <w:basedOn w:val="12"/>
    <w:qFormat/>
    <w:uiPriority w:val="0"/>
    <w:rPr>
      <w:rFonts w:hint="default" w:ascii="Arial" w:hAnsi="Arial" w:cs="Arial"/>
      <w:color w:val="000000"/>
      <w:sz w:val="20"/>
      <w:szCs w:val="20"/>
      <w:u w:val="none"/>
    </w:rPr>
  </w:style>
  <w:style w:type="paragraph" w:customStyle="1" w:styleId="29">
    <w:name w:val="Body Text First Indent 21"/>
    <w:basedOn w:val="30"/>
    <w:autoRedefine/>
    <w:qFormat/>
    <w:uiPriority w:val="0"/>
    <w:pPr>
      <w:ind w:firstLine="420" w:firstLineChars="200"/>
    </w:pPr>
  </w:style>
  <w:style w:type="paragraph" w:customStyle="1" w:styleId="30">
    <w:name w:val="Body Text Indent1"/>
    <w:basedOn w:val="1"/>
    <w:autoRedefine/>
    <w:qFormat/>
    <w:uiPriority w:val="0"/>
    <w:pPr>
      <w:spacing w:after="120" w:afterLines="0"/>
      <w:ind w:left="420" w:left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7348</Words>
  <Characters>8199</Characters>
  <Lines>72</Lines>
  <Paragraphs>20</Paragraphs>
  <TotalTime>11</TotalTime>
  <ScaleCrop>false</ScaleCrop>
  <LinksUpToDate>false</LinksUpToDate>
  <CharactersWithSpaces>8559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企业用户_602324740</cp:lastModifiedBy>
  <cp:lastPrinted>2021-11-30T08:18:00Z</cp:lastPrinted>
  <dcterms:modified xsi:type="dcterms:W3CDTF">2024-09-23T08:07:52Z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E9903ECDA45F4447AA5736D5B5ECE74F_13</vt:lpwstr>
  </property>
</Properties>
</file>