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jc w:val="center"/>
        <w:rPr>
          <w:rFonts w:hint="eastAsia" w:asciiTheme="majorEastAsia" w:hAnsiTheme="majorEastAsia" w:eastAsiaTheme="majorEastAsia" w:cstheme="majorEastAsia"/>
          <w:b/>
          <w:bCs w:val="0"/>
          <w:color w:val="000000"/>
          <w:kern w:val="0"/>
          <w:sz w:val="44"/>
          <w:szCs w:val="44"/>
          <w:lang w:val="en-US" w:eastAsia="zh-CN"/>
        </w:rPr>
      </w:pPr>
    </w:p>
    <w:p>
      <w:pPr>
        <w:widowControl/>
        <w:jc w:val="left"/>
        <w:outlineLvl w:val="1"/>
        <w:rPr>
          <w:rFonts w:hint="eastAsia" w:ascii="仿宋_GB2312" w:hAnsi="宋体" w:eastAsia="仿宋_GB2312"/>
          <w:b/>
          <w:bCs w:val="0"/>
          <w:kern w:val="0"/>
          <w:sz w:val="44"/>
          <w:szCs w:val="44"/>
          <w:lang w:val="en-US" w:eastAsia="zh-CN"/>
        </w:rPr>
      </w:pPr>
      <w:r>
        <w:rPr>
          <w:rFonts w:hint="eastAsia" w:asciiTheme="majorEastAsia" w:hAnsiTheme="majorEastAsia" w:eastAsiaTheme="majorEastAsia" w:cstheme="majorEastAsia"/>
          <w:b/>
          <w:bCs w:val="0"/>
          <w:color w:val="000000"/>
          <w:kern w:val="0"/>
          <w:sz w:val="44"/>
          <w:szCs w:val="44"/>
          <w:lang w:val="en-US" w:eastAsia="zh-CN"/>
        </w:rPr>
        <w:t xml:space="preserve"> </w:t>
      </w:r>
      <w:r>
        <w:rPr>
          <w:rFonts w:hint="eastAsia" w:ascii="仿宋_GB2312" w:hAnsi="宋体" w:eastAsia="仿宋_GB2312"/>
          <w:b/>
          <w:bCs w:val="0"/>
          <w:kern w:val="0"/>
          <w:sz w:val="44"/>
          <w:szCs w:val="44"/>
          <w:lang w:val="en-US" w:eastAsia="zh-CN"/>
        </w:rPr>
        <w:t xml:space="preserve">  </w:t>
      </w:r>
    </w:p>
    <w:p>
      <w:pPr>
        <w:widowControl/>
        <w:jc w:val="left"/>
        <w:outlineLvl w:val="1"/>
        <w:rPr>
          <w:rFonts w:hint="eastAsia" w:ascii="仿宋_GB2312" w:hAnsi="宋体" w:eastAsia="仿宋_GB2312"/>
          <w:b/>
          <w:bCs w:val="0"/>
          <w:kern w:val="0"/>
          <w:sz w:val="44"/>
          <w:szCs w:val="44"/>
          <w:lang w:val="en-US" w:eastAsia="zh-CN"/>
        </w:rPr>
      </w:pPr>
    </w:p>
    <w:p>
      <w:pPr>
        <w:widowControl/>
        <w:jc w:val="left"/>
        <w:outlineLvl w:val="1"/>
        <w:rPr>
          <w:rFonts w:hint="eastAsia" w:ascii="仿宋_GB2312" w:hAnsi="宋体" w:eastAsia="仿宋_GB2312"/>
          <w:b/>
          <w:bCs w:val="0"/>
          <w:kern w:val="0"/>
          <w:sz w:val="44"/>
          <w:szCs w:val="44"/>
          <w:lang w:val="en-US" w:eastAsia="zh-CN"/>
        </w:rPr>
      </w:pPr>
    </w:p>
    <w:p>
      <w:pPr>
        <w:widowControl/>
        <w:jc w:val="left"/>
        <w:outlineLvl w:val="1"/>
        <w:rPr>
          <w:rFonts w:hint="eastAsia" w:ascii="仿宋_GB2312" w:hAnsi="宋体" w:eastAsia="仿宋_GB2312"/>
          <w:b/>
          <w:bCs w:val="0"/>
          <w:kern w:val="0"/>
          <w:sz w:val="44"/>
          <w:szCs w:val="44"/>
          <w:lang w:val="en-US" w:eastAsia="zh-CN"/>
        </w:rPr>
      </w:pPr>
    </w:p>
    <w:p>
      <w:pPr>
        <w:widowControl/>
        <w:jc w:val="left"/>
        <w:outlineLvl w:val="1"/>
        <w:rPr>
          <w:rFonts w:hint="eastAsia" w:ascii="仿宋_GB2312" w:hAnsi="宋体" w:eastAsia="仿宋_GB2312"/>
          <w:b/>
          <w:bCs w:val="0"/>
          <w:kern w:val="0"/>
          <w:sz w:val="44"/>
          <w:szCs w:val="44"/>
          <w:lang w:val="en-US" w:eastAsia="zh-CN"/>
        </w:rPr>
      </w:pPr>
    </w:p>
    <w:p>
      <w:pPr>
        <w:widowControl/>
        <w:jc w:val="left"/>
        <w:outlineLvl w:val="1"/>
        <w:rPr>
          <w:rFonts w:hint="eastAsia" w:ascii="仿宋_GB2312" w:hAnsi="宋体" w:eastAsia="仿宋_GB2312"/>
          <w:b/>
          <w:bCs w:val="0"/>
          <w:kern w:val="0"/>
          <w:sz w:val="44"/>
          <w:szCs w:val="44"/>
          <w:lang w:val="en-US" w:eastAsia="zh-CN"/>
        </w:rPr>
      </w:pPr>
    </w:p>
    <w:p>
      <w:pPr>
        <w:widowControl/>
        <w:jc w:val="left"/>
        <w:outlineLvl w:val="1"/>
        <w:rPr>
          <w:rFonts w:hint="eastAsia" w:ascii="仿宋_GB2312" w:hAnsi="宋体" w:eastAsia="仿宋_GB2312"/>
          <w:b/>
          <w:bCs w:val="0"/>
          <w:kern w:val="0"/>
          <w:sz w:val="44"/>
          <w:szCs w:val="44"/>
          <w:lang w:val="en-US" w:eastAsia="zh-CN"/>
        </w:rPr>
      </w:pPr>
    </w:p>
    <w:p>
      <w:pPr>
        <w:widowControl/>
        <w:jc w:val="left"/>
        <w:outlineLvl w:val="1"/>
        <w:rPr>
          <w:rFonts w:hint="eastAsia" w:ascii="仿宋_GB2312" w:hAnsi="宋体" w:eastAsia="仿宋_GB2312"/>
          <w:b/>
          <w:bCs w:val="0"/>
          <w:kern w:val="0"/>
          <w:sz w:val="44"/>
          <w:szCs w:val="44"/>
          <w:lang w:val="en-US" w:eastAsia="zh-CN"/>
        </w:rPr>
      </w:pPr>
    </w:p>
    <w:p>
      <w:pPr>
        <w:widowControl/>
        <w:jc w:val="center"/>
        <w:outlineLvl w:val="1"/>
        <w:rPr>
          <w:rFonts w:hint="eastAsia" w:ascii="仿宋_GB2312" w:hAnsi="宋体" w:eastAsia="仿宋_GB2312"/>
          <w:b/>
          <w:bCs w:val="0"/>
          <w:kern w:val="0"/>
          <w:sz w:val="44"/>
          <w:szCs w:val="44"/>
          <w:lang w:val="en-US" w:eastAsia="zh-CN"/>
        </w:rPr>
      </w:pPr>
      <w:r>
        <w:rPr>
          <w:rFonts w:hint="eastAsia" w:ascii="仿宋_GB2312" w:hAnsi="宋体" w:eastAsia="仿宋_GB2312"/>
          <w:b/>
          <w:bCs w:val="0"/>
          <w:kern w:val="0"/>
          <w:sz w:val="44"/>
          <w:szCs w:val="44"/>
          <w:lang w:val="en-US" w:eastAsia="zh-CN"/>
        </w:rPr>
        <w:t xml:space="preserve"> </w:t>
      </w:r>
    </w:p>
    <w:p>
      <w:pPr>
        <w:widowControl/>
        <w:jc w:val="center"/>
        <w:outlineLvl w:val="1"/>
        <w:rPr>
          <w:rFonts w:hint="eastAsia" w:ascii="仿宋_GB2312" w:hAnsi="宋体" w:eastAsia="仿宋_GB2312"/>
          <w:b/>
          <w:bCs w:val="0"/>
          <w:kern w:val="0"/>
          <w:sz w:val="44"/>
          <w:szCs w:val="44"/>
          <w:lang w:val="en-US" w:eastAsia="zh-CN"/>
        </w:rPr>
      </w:pPr>
    </w:p>
    <w:p>
      <w:pPr>
        <w:widowControl/>
        <w:jc w:val="center"/>
        <w:outlineLvl w:val="1"/>
        <w:rPr>
          <w:rFonts w:hint="eastAsia" w:ascii="仿宋_GB2312" w:hAnsi="宋体" w:eastAsia="仿宋_GB2312"/>
          <w:b/>
          <w:bCs w:val="0"/>
          <w:kern w:val="0"/>
          <w:sz w:val="44"/>
          <w:szCs w:val="44"/>
          <w:lang w:eastAsia="zh-CN"/>
        </w:rPr>
      </w:pPr>
      <w:r>
        <w:rPr>
          <w:rFonts w:hint="eastAsia" w:ascii="仿宋_GB2312" w:hAnsi="宋体" w:eastAsia="仿宋_GB2312"/>
          <w:b/>
          <w:bCs w:val="0"/>
          <w:kern w:val="0"/>
          <w:sz w:val="44"/>
          <w:szCs w:val="44"/>
          <w:lang w:val="en-US" w:eastAsia="zh-CN"/>
        </w:rPr>
        <w:t>银川市</w:t>
      </w:r>
      <w:r>
        <w:rPr>
          <w:rFonts w:hint="eastAsia" w:ascii="仿宋_GB2312" w:hAnsi="宋体" w:eastAsia="仿宋_GB2312"/>
          <w:b/>
          <w:bCs w:val="0"/>
          <w:kern w:val="0"/>
          <w:sz w:val="44"/>
          <w:szCs w:val="44"/>
          <w:lang w:eastAsia="zh-CN"/>
        </w:rPr>
        <w:t>金凤区信访局</w:t>
      </w:r>
      <w:r>
        <w:rPr>
          <w:rFonts w:hint="eastAsia" w:ascii="仿宋_GB2312" w:hAnsi="宋体" w:eastAsia="仿宋_GB2312"/>
          <w:b/>
          <w:bCs w:val="0"/>
          <w:kern w:val="0"/>
          <w:sz w:val="44"/>
          <w:szCs w:val="44"/>
          <w:lang w:val="en-US" w:eastAsia="zh-CN"/>
        </w:rPr>
        <w:t>2021年部门预算公开</w:t>
      </w:r>
    </w:p>
    <w:p>
      <w:pPr>
        <w:widowControl/>
        <w:jc w:val="left"/>
        <w:outlineLvl w:val="1"/>
        <w:rPr>
          <w:rFonts w:hint="eastAsia" w:ascii="仿宋_GB2312" w:hAnsi="宋体" w:eastAsia="仿宋_GB2312"/>
          <w:b/>
          <w:bCs w:val="0"/>
          <w:kern w:val="0"/>
          <w:sz w:val="44"/>
          <w:szCs w:val="44"/>
        </w:rPr>
      </w:pPr>
    </w:p>
    <w:p>
      <w:pPr>
        <w:widowControl/>
        <w:jc w:val="left"/>
        <w:outlineLvl w:val="1"/>
        <w:rPr>
          <w:rFonts w:hint="eastAsia" w:ascii="仿宋_GB2312" w:hAnsi="宋体" w:eastAsia="仿宋_GB2312"/>
          <w:b/>
          <w:kern w:val="0"/>
          <w:sz w:val="44"/>
          <w:szCs w:val="44"/>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ind w:firstLine="723" w:firstLineChars="200"/>
        <w:jc w:val="left"/>
        <w:outlineLvl w:val="1"/>
        <w:rPr>
          <w:rFonts w:hint="eastAsia" w:ascii="仿宋_GB2312" w:hAnsi="宋体" w:eastAsia="仿宋_GB2312"/>
          <w:b/>
          <w:kern w:val="0"/>
          <w:sz w:val="36"/>
          <w:szCs w:val="36"/>
          <w:lang w:eastAsia="zh-CN"/>
        </w:rPr>
      </w:pPr>
    </w:p>
    <w:p>
      <w:pPr>
        <w:widowControl/>
        <w:ind w:firstLine="723" w:firstLineChars="200"/>
        <w:jc w:val="left"/>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eastAsia="zh-CN"/>
        </w:rPr>
        <w:t>金凤区信访局</w:t>
      </w:r>
      <w:r>
        <w:rPr>
          <w:rFonts w:hint="eastAsia" w:ascii="仿宋_GB2312" w:hAnsi="宋体" w:eastAsia="仿宋_GB2312"/>
          <w:b/>
          <w:kern w:val="0"/>
          <w:sz w:val="36"/>
          <w:szCs w:val="36"/>
        </w:rPr>
        <w:t>202</w:t>
      </w:r>
      <w:r>
        <w:rPr>
          <w:rFonts w:hint="eastAsia" w:ascii="仿宋_GB2312" w:hAnsi="宋体" w:eastAsia="仿宋_GB2312"/>
          <w:b/>
          <w:kern w:val="0"/>
          <w:sz w:val="36"/>
          <w:szCs w:val="36"/>
          <w:lang w:val="en-US" w:eastAsia="zh-CN"/>
        </w:rPr>
        <w:t>1</w:t>
      </w:r>
      <w:r>
        <w:rPr>
          <w:rFonts w:hint="eastAsia" w:ascii="仿宋_GB2312" w:hAnsi="宋体" w:eastAsia="仿宋_GB2312"/>
          <w:b/>
          <w:kern w:val="0"/>
          <w:sz w:val="36"/>
          <w:szCs w:val="36"/>
        </w:rPr>
        <w:t>年部门预算——单位概况</w:t>
      </w:r>
    </w:p>
    <w:p>
      <w:pPr>
        <w:widowControl/>
        <w:ind w:firstLine="964" w:firstLineChars="300"/>
        <w:jc w:val="left"/>
        <w:outlineLvl w:val="1"/>
        <w:rPr>
          <w:rFonts w:hint="eastAsia" w:ascii="黑体" w:hAnsi="黑体" w:eastAsia="黑体" w:cs="宋体"/>
          <w:b/>
          <w:bCs/>
          <w:kern w:val="0"/>
          <w:sz w:val="32"/>
          <w:szCs w:val="32"/>
        </w:rPr>
      </w:pPr>
    </w:p>
    <w:p>
      <w:pPr>
        <w:widowControl/>
        <w:ind w:firstLine="964" w:firstLineChars="300"/>
        <w:jc w:val="left"/>
        <w:outlineLvl w:val="1"/>
        <w:rPr>
          <w:rFonts w:ascii="黑体" w:hAnsi="黑体" w:eastAsia="黑体" w:cs="宋体"/>
          <w:b/>
          <w:bCs/>
          <w:kern w:val="0"/>
          <w:sz w:val="32"/>
          <w:szCs w:val="32"/>
        </w:rPr>
      </w:pPr>
      <w:r>
        <w:rPr>
          <w:rFonts w:hint="eastAsia" w:ascii="黑体" w:hAnsi="黑体" w:eastAsia="黑体" w:cs="宋体"/>
          <w:b/>
          <w:bCs/>
          <w:kern w:val="0"/>
          <w:sz w:val="32"/>
          <w:szCs w:val="32"/>
        </w:rPr>
        <w:t>一、主要职能</w:t>
      </w:r>
    </w:p>
    <w:p>
      <w:pPr>
        <w:spacing w:before="0" w:after="0" w:line="560" w:lineRule="auto"/>
        <w:ind w:left="0" w:right="0" w:firstLine="645"/>
        <w:jc w:val="left"/>
        <w:rPr>
          <w:rFonts w:hint="eastAsia" w:ascii="仿宋" w:hAnsi="仿宋" w:eastAsia="仿宋" w:cs="仿宋"/>
          <w:color w:val="000000"/>
          <w:spacing w:val="0"/>
          <w:position w:val="0"/>
          <w:sz w:val="32"/>
          <w:shd w:val="clear" w:fill="auto"/>
        </w:rPr>
      </w:pPr>
      <w:r>
        <w:rPr>
          <w:rFonts w:hint="eastAsia" w:ascii="仿宋" w:hAnsi="仿宋" w:eastAsia="仿宋" w:cs="仿宋"/>
          <w:color w:val="000000"/>
          <w:spacing w:val="0"/>
          <w:position w:val="0"/>
          <w:sz w:val="32"/>
          <w:shd w:val="clear" w:fill="auto"/>
        </w:rPr>
        <w:t>（1）受理、交办、转送信访人提出的信访事项。</w:t>
      </w:r>
    </w:p>
    <w:p>
      <w:pPr>
        <w:spacing w:before="0" w:after="0" w:line="560" w:lineRule="auto"/>
        <w:ind w:left="0" w:right="0" w:firstLine="645"/>
        <w:jc w:val="left"/>
        <w:rPr>
          <w:rFonts w:hint="eastAsia" w:ascii="仿宋" w:hAnsi="仿宋" w:eastAsia="仿宋" w:cs="仿宋"/>
          <w:color w:val="000000"/>
          <w:spacing w:val="0"/>
          <w:position w:val="0"/>
          <w:sz w:val="32"/>
          <w:shd w:val="clear" w:fill="auto"/>
        </w:rPr>
      </w:pPr>
      <w:r>
        <w:rPr>
          <w:rFonts w:hint="eastAsia" w:ascii="仿宋" w:hAnsi="仿宋" w:eastAsia="仿宋" w:cs="仿宋"/>
          <w:color w:val="000000"/>
          <w:spacing w:val="0"/>
          <w:position w:val="0"/>
          <w:sz w:val="32"/>
          <w:shd w:val="clear" w:fill="auto"/>
        </w:rPr>
        <w:t>（2）承办上级和本级人民政府交由处理的信访事项。</w:t>
      </w:r>
    </w:p>
    <w:p>
      <w:pPr>
        <w:spacing w:before="0" w:after="0" w:line="560" w:lineRule="auto"/>
        <w:ind w:left="0" w:right="0" w:firstLine="645"/>
        <w:jc w:val="left"/>
        <w:rPr>
          <w:rFonts w:hint="eastAsia" w:ascii="仿宋" w:hAnsi="仿宋" w:eastAsia="仿宋" w:cs="仿宋"/>
          <w:color w:val="000000"/>
          <w:spacing w:val="0"/>
          <w:position w:val="0"/>
          <w:sz w:val="32"/>
          <w:shd w:val="clear" w:fill="auto"/>
        </w:rPr>
      </w:pPr>
      <w:r>
        <w:rPr>
          <w:rFonts w:hint="eastAsia" w:ascii="仿宋" w:hAnsi="仿宋" w:eastAsia="仿宋" w:cs="仿宋"/>
          <w:color w:val="000000"/>
          <w:spacing w:val="0"/>
          <w:position w:val="0"/>
          <w:sz w:val="32"/>
          <w:shd w:val="clear" w:fill="auto"/>
        </w:rPr>
        <w:t>（3）协调处理重要信访事项。</w:t>
      </w:r>
    </w:p>
    <w:p>
      <w:pPr>
        <w:spacing w:before="0" w:after="0" w:line="560" w:lineRule="auto"/>
        <w:ind w:left="0" w:right="0" w:firstLine="645"/>
        <w:jc w:val="left"/>
        <w:rPr>
          <w:rFonts w:hint="eastAsia" w:ascii="仿宋" w:hAnsi="仿宋" w:eastAsia="仿宋" w:cs="仿宋"/>
          <w:color w:val="000000"/>
          <w:spacing w:val="0"/>
          <w:position w:val="0"/>
          <w:sz w:val="32"/>
          <w:shd w:val="clear" w:fill="auto"/>
        </w:rPr>
      </w:pPr>
      <w:r>
        <w:rPr>
          <w:rFonts w:hint="eastAsia" w:ascii="仿宋" w:hAnsi="仿宋" w:eastAsia="仿宋" w:cs="仿宋"/>
          <w:color w:val="000000"/>
          <w:spacing w:val="0"/>
          <w:position w:val="0"/>
          <w:sz w:val="32"/>
          <w:shd w:val="clear" w:fill="auto"/>
        </w:rPr>
        <w:t>（4）督促检查信访事项的处理。</w:t>
      </w:r>
    </w:p>
    <w:p>
      <w:pPr>
        <w:spacing w:before="0" w:after="0" w:line="560" w:lineRule="auto"/>
        <w:ind w:left="638" w:right="0" w:firstLine="0"/>
        <w:jc w:val="left"/>
        <w:rPr>
          <w:rFonts w:hint="eastAsia" w:ascii="仿宋" w:hAnsi="仿宋" w:eastAsia="仿宋" w:cs="仿宋"/>
          <w:color w:val="000000"/>
          <w:spacing w:val="0"/>
          <w:position w:val="0"/>
          <w:sz w:val="32"/>
          <w:shd w:val="clear" w:fill="auto"/>
        </w:rPr>
      </w:pPr>
      <w:r>
        <w:rPr>
          <w:rFonts w:hint="eastAsia" w:ascii="仿宋" w:hAnsi="仿宋" w:eastAsia="仿宋" w:cs="仿宋"/>
          <w:color w:val="000000"/>
          <w:spacing w:val="0"/>
          <w:position w:val="0"/>
          <w:sz w:val="32"/>
          <w:shd w:val="clear" w:fill="auto"/>
        </w:rPr>
        <w:t>（5）研究分析信访情况，开展调查研究，及时向本级</w:t>
      </w:r>
    </w:p>
    <w:p>
      <w:pPr>
        <w:spacing w:before="0" w:after="0" w:line="560" w:lineRule="auto"/>
        <w:ind w:right="0"/>
        <w:jc w:val="left"/>
        <w:rPr>
          <w:rFonts w:hint="eastAsia" w:ascii="仿宋" w:hAnsi="仿宋" w:eastAsia="仿宋" w:cs="仿宋"/>
          <w:color w:val="000000"/>
          <w:spacing w:val="0"/>
          <w:position w:val="0"/>
          <w:sz w:val="32"/>
          <w:shd w:val="clear" w:fill="auto"/>
        </w:rPr>
      </w:pPr>
      <w:r>
        <w:rPr>
          <w:rFonts w:hint="eastAsia" w:ascii="仿宋" w:hAnsi="仿宋" w:eastAsia="仿宋" w:cs="仿宋"/>
          <w:color w:val="000000"/>
          <w:spacing w:val="0"/>
          <w:position w:val="0"/>
          <w:sz w:val="32"/>
          <w:shd w:val="clear" w:fill="auto"/>
        </w:rPr>
        <w:t>人民政府提出完善政策和改进工作的意见。</w:t>
      </w:r>
    </w:p>
    <w:p>
      <w:pPr>
        <w:spacing w:before="0" w:after="0" w:line="560" w:lineRule="auto"/>
        <w:ind w:left="0" w:right="0" w:firstLine="640" w:firstLineChars="200"/>
        <w:jc w:val="left"/>
        <w:rPr>
          <w:rFonts w:hint="eastAsia" w:ascii="仿宋" w:hAnsi="仿宋" w:eastAsia="仿宋" w:cs="仿宋"/>
          <w:color w:val="auto"/>
          <w:spacing w:val="0"/>
          <w:position w:val="0"/>
          <w:sz w:val="32"/>
          <w:shd w:val="clear" w:fill="auto"/>
        </w:rPr>
      </w:pPr>
      <w:r>
        <w:rPr>
          <w:rFonts w:hint="eastAsia" w:ascii="仿宋" w:hAnsi="仿宋" w:eastAsia="仿宋" w:cs="仿宋"/>
          <w:color w:val="000000"/>
          <w:spacing w:val="0"/>
          <w:position w:val="0"/>
          <w:sz w:val="32"/>
          <w:shd w:val="clear" w:fill="auto"/>
        </w:rPr>
        <w:t>（6）对本级人民政府其他工作部门和下级人民政府信访工作机构的信访工作进行指导。</w:t>
      </w:r>
    </w:p>
    <w:p>
      <w:pPr>
        <w:widowControl/>
        <w:spacing w:line="560" w:lineRule="exact"/>
        <w:jc w:val="left"/>
        <w:rPr>
          <w:rFonts w:ascii="仿宋" w:hAnsi="仿宋" w:eastAsia="仿宋" w:cs="宋体"/>
          <w:bCs/>
          <w:kern w:val="0"/>
          <w:sz w:val="32"/>
          <w:szCs w:val="32"/>
        </w:rPr>
      </w:pPr>
      <w:r>
        <w:rPr>
          <w:rFonts w:hint="eastAsia" w:ascii="仿宋" w:hAnsi="仿宋" w:eastAsia="仿宋" w:cs="宋体"/>
          <w:bCs/>
          <w:kern w:val="0"/>
          <w:sz w:val="32"/>
          <w:szCs w:val="32"/>
        </w:rPr>
        <w:t xml:space="preserve"> </w:t>
      </w: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ind w:firstLine="480"/>
        <w:jc w:val="left"/>
        <w:rPr>
          <w:rFonts w:hint="eastAsia" w:ascii="仿宋" w:hAnsi="仿宋" w:eastAsia="仿宋" w:cs="仿宋"/>
          <w:color w:val="auto"/>
          <w:spacing w:val="0"/>
          <w:position w:val="0"/>
          <w:sz w:val="32"/>
          <w:shd w:val="clear" w:fill="auto"/>
        </w:rPr>
      </w:pPr>
      <w:r>
        <w:rPr>
          <w:rFonts w:hint="eastAsia" w:ascii="黑体" w:hAnsi="黑体" w:eastAsia="黑体" w:cs="宋体"/>
          <w:b/>
          <w:bCs/>
          <w:kern w:val="0"/>
          <w:sz w:val="32"/>
          <w:szCs w:val="32"/>
        </w:rPr>
        <w:t xml:space="preserve">  </w:t>
      </w:r>
      <w:r>
        <w:rPr>
          <w:rFonts w:hint="eastAsia" w:ascii="仿宋" w:hAnsi="仿宋" w:eastAsia="仿宋" w:cs="仿宋"/>
          <w:color w:val="auto"/>
          <w:spacing w:val="0"/>
          <w:position w:val="0"/>
          <w:sz w:val="32"/>
          <w:shd w:val="clear" w:fill="auto"/>
        </w:rPr>
        <w:t>1、银川市金凤区信访局部门预算包括：金凤区信访局本级预算。</w:t>
      </w:r>
    </w:p>
    <w:p>
      <w:pPr>
        <w:spacing w:before="0" w:after="0" w:line="720" w:lineRule="auto"/>
        <w:ind w:right="0" w:firstLine="640" w:firstLineChars="200"/>
        <w:jc w:val="left"/>
        <w:rPr>
          <w:rFonts w:hint="eastAsia" w:ascii="仿宋" w:hAnsi="仿宋" w:eastAsia="仿宋" w:cs="仿宋"/>
          <w:color w:val="auto"/>
          <w:spacing w:val="0"/>
          <w:position w:val="0"/>
          <w:sz w:val="21"/>
          <w:shd w:val="clear" w:fill="auto"/>
        </w:rPr>
      </w:pPr>
      <w:r>
        <w:rPr>
          <w:rFonts w:hint="eastAsia" w:ascii="仿宋" w:hAnsi="仿宋" w:eastAsia="仿宋" w:cs="仿宋"/>
          <w:color w:val="auto"/>
          <w:spacing w:val="0"/>
          <w:position w:val="0"/>
          <w:sz w:val="32"/>
          <w:shd w:val="clear" w:fill="FFFFFF"/>
        </w:rPr>
        <w:t>2、纳入金凤区信访局20</w:t>
      </w:r>
      <w:r>
        <w:rPr>
          <w:rFonts w:hint="eastAsia" w:ascii="仿宋" w:hAnsi="仿宋" w:eastAsia="仿宋" w:cs="仿宋"/>
          <w:color w:val="auto"/>
          <w:spacing w:val="0"/>
          <w:position w:val="0"/>
          <w:sz w:val="32"/>
          <w:shd w:val="clear" w:fill="FFFFFF"/>
          <w:lang w:val="en-US" w:eastAsia="zh-CN"/>
        </w:rPr>
        <w:t>21</w:t>
      </w:r>
      <w:r>
        <w:rPr>
          <w:rFonts w:hint="eastAsia" w:ascii="仿宋" w:hAnsi="仿宋" w:eastAsia="仿宋" w:cs="仿宋"/>
          <w:color w:val="auto"/>
          <w:spacing w:val="0"/>
          <w:position w:val="0"/>
          <w:sz w:val="32"/>
          <w:shd w:val="clear" w:fill="FFFFFF"/>
        </w:rPr>
        <w:t>年部门预算汇编范围的单位共1个，即：银川市金凤区信访;金凤区信访局为金凤区财政局所属财政全额拨款行政单位，20</w:t>
      </w:r>
      <w:r>
        <w:rPr>
          <w:rFonts w:hint="eastAsia" w:ascii="仿宋" w:hAnsi="仿宋" w:eastAsia="仿宋" w:cs="仿宋"/>
          <w:color w:val="auto"/>
          <w:spacing w:val="0"/>
          <w:position w:val="0"/>
          <w:sz w:val="32"/>
          <w:shd w:val="clear" w:fill="FFFFFF"/>
          <w:lang w:val="en-US" w:eastAsia="zh-CN"/>
        </w:rPr>
        <w:t>21</w:t>
      </w:r>
      <w:r>
        <w:rPr>
          <w:rFonts w:hint="eastAsia" w:ascii="仿宋" w:hAnsi="仿宋" w:eastAsia="仿宋" w:cs="仿宋"/>
          <w:color w:val="auto"/>
          <w:spacing w:val="0"/>
          <w:position w:val="0"/>
          <w:sz w:val="32"/>
          <w:shd w:val="clear" w:fill="FFFFFF"/>
        </w:rPr>
        <w:t>年初编制</w:t>
      </w:r>
      <w:r>
        <w:rPr>
          <w:rFonts w:hint="eastAsia" w:ascii="仿宋" w:hAnsi="仿宋" w:eastAsia="仿宋" w:cs="仿宋"/>
          <w:color w:val="auto"/>
          <w:spacing w:val="0"/>
          <w:position w:val="0"/>
          <w:sz w:val="32"/>
          <w:shd w:val="clear" w:fill="FFFFFF"/>
          <w:lang w:val="en-US" w:eastAsia="zh-CN"/>
        </w:rPr>
        <w:t>5</w:t>
      </w:r>
      <w:r>
        <w:rPr>
          <w:rFonts w:hint="eastAsia" w:ascii="仿宋" w:hAnsi="仿宋" w:eastAsia="仿宋" w:cs="仿宋"/>
          <w:color w:val="auto"/>
          <w:spacing w:val="0"/>
          <w:position w:val="0"/>
          <w:sz w:val="32"/>
          <w:shd w:val="clear" w:fill="FFFFFF"/>
        </w:rPr>
        <w:t>人，实有人员4人，其中行政编制</w:t>
      </w:r>
      <w:r>
        <w:rPr>
          <w:rFonts w:hint="eastAsia" w:ascii="仿宋" w:hAnsi="仿宋" w:eastAsia="仿宋" w:cs="仿宋"/>
          <w:color w:val="auto"/>
          <w:spacing w:val="0"/>
          <w:position w:val="0"/>
          <w:sz w:val="32"/>
          <w:shd w:val="clear" w:fill="FFFFFF"/>
          <w:lang w:val="en-US" w:eastAsia="zh-CN"/>
        </w:rPr>
        <w:t>5</w:t>
      </w:r>
      <w:r>
        <w:rPr>
          <w:rFonts w:hint="eastAsia" w:ascii="仿宋" w:hAnsi="仿宋" w:eastAsia="仿宋" w:cs="仿宋"/>
          <w:color w:val="auto"/>
          <w:spacing w:val="0"/>
          <w:position w:val="0"/>
          <w:sz w:val="32"/>
          <w:shd w:val="clear" w:fill="FFFFFF"/>
        </w:rPr>
        <w:t>人，政策性安置非编人员4人。</w:t>
      </w:r>
      <w:r>
        <w:rPr>
          <w:rFonts w:hint="eastAsia" w:ascii="仿宋" w:hAnsi="仿宋" w:eastAsia="仿宋" w:cs="仿宋"/>
          <w:color w:val="auto"/>
          <w:spacing w:val="0"/>
          <w:position w:val="0"/>
          <w:sz w:val="32"/>
          <w:shd w:val="clear" w:fill="FFFFFF"/>
          <w:lang w:eastAsia="zh-CN"/>
        </w:rPr>
        <w:t>聘用人员</w:t>
      </w:r>
      <w:r>
        <w:rPr>
          <w:rFonts w:hint="eastAsia" w:ascii="仿宋" w:hAnsi="仿宋" w:eastAsia="仿宋" w:cs="仿宋"/>
          <w:color w:val="auto"/>
          <w:spacing w:val="0"/>
          <w:position w:val="0"/>
          <w:sz w:val="32"/>
          <w:shd w:val="clear" w:fill="FFFFFF"/>
          <w:lang w:val="en-US" w:eastAsia="zh-CN"/>
        </w:rPr>
        <w:t>2人，</w:t>
      </w:r>
      <w:r>
        <w:rPr>
          <w:rFonts w:hint="eastAsia" w:ascii="仿宋" w:hAnsi="仿宋" w:eastAsia="仿宋" w:cs="仿宋"/>
          <w:color w:val="auto"/>
          <w:spacing w:val="0"/>
          <w:position w:val="0"/>
          <w:sz w:val="32"/>
          <w:shd w:val="clear" w:fill="FFFFFF"/>
        </w:rPr>
        <w:t>退休人员</w:t>
      </w:r>
      <w:r>
        <w:rPr>
          <w:rFonts w:hint="eastAsia" w:ascii="仿宋" w:hAnsi="仿宋" w:eastAsia="仿宋" w:cs="仿宋"/>
          <w:color w:val="auto"/>
          <w:spacing w:val="0"/>
          <w:position w:val="0"/>
          <w:sz w:val="32"/>
          <w:shd w:val="clear" w:fill="FFFFFF"/>
          <w:lang w:val="en-US" w:eastAsia="zh-CN"/>
        </w:rPr>
        <w:t>5</w:t>
      </w:r>
      <w:r>
        <w:rPr>
          <w:rFonts w:hint="eastAsia" w:ascii="仿宋" w:hAnsi="仿宋" w:eastAsia="仿宋" w:cs="仿宋"/>
          <w:color w:val="auto"/>
          <w:spacing w:val="0"/>
          <w:position w:val="0"/>
          <w:sz w:val="32"/>
          <w:shd w:val="clear" w:fill="FFFFFF"/>
        </w:rPr>
        <w:t>人。</w:t>
      </w: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
    <w:p/>
    <w:p/>
    <w:p/>
    <w:p/>
    <w:p/>
    <w:p/>
    <w:p/>
    <w:p/>
    <w:p/>
    <w:p>
      <w:pPr>
        <w:sectPr>
          <w:pgSz w:w="11906" w:h="16838"/>
          <w:pgMar w:top="1440" w:right="1800" w:bottom="1440" w:left="1800" w:header="851" w:footer="992" w:gutter="0"/>
          <w:cols w:space="720" w:num="1"/>
          <w:docGrid w:type="lines" w:linePitch="312" w:charSpace="0"/>
        </w:sect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val="en-US" w:eastAsia="zh-CN"/>
        </w:rPr>
        <w:t>金凤区信访</w:t>
      </w:r>
      <w:r>
        <w:rPr>
          <w:rFonts w:hint="eastAsia" w:ascii="仿宋_GB2312" w:hAnsi="宋体" w:eastAsia="仿宋_GB2312"/>
          <w:b/>
          <w:kern w:val="0"/>
          <w:sz w:val="36"/>
          <w:szCs w:val="36"/>
        </w:rPr>
        <w:t>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157</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157</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157</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157</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125.46</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125.46</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16.6</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16.6</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8.41</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8.41</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6.53</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6.53</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157</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eastAsia="zh-CN"/>
              </w:rPr>
              <w:t>：</w:t>
            </w:r>
            <w:r>
              <w:rPr>
                <w:rFonts w:hint="eastAsia" w:ascii="宋体" w:hAnsi="宋体" w:cs="Arial"/>
                <w:b/>
                <w:bCs/>
                <w:color w:val="000000"/>
                <w:kern w:val="0"/>
                <w:sz w:val="22"/>
                <w:szCs w:val="22"/>
                <w:lang w:val="en-US" w:eastAsia="zh-CN"/>
              </w:rPr>
              <w:t>157</w:t>
            </w:r>
          </w:p>
        </w:tc>
      </w:tr>
    </w:tbl>
    <w:p/>
    <w:p>
      <w:pPr>
        <w:widowControl/>
        <w:ind w:firstLine="640" w:firstLineChars="200"/>
        <w:outlineLvl w:val="1"/>
        <w:rPr>
          <w:rFonts w:hint="eastAsia"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419" w:hRule="atLeast"/>
        </w:trPr>
        <w:tc>
          <w:tcPr>
            <w:tcW w:w="1637" w:type="dxa"/>
            <w:tcBorders>
              <w:top w:val="nil"/>
              <w:left w:val="single" w:color="auto" w:sz="4" w:space="0"/>
              <w:bottom w:val="single" w:color="auto" w:sz="4" w:space="0"/>
              <w:right w:val="single" w:color="auto" w:sz="4" w:space="0"/>
            </w:tcBorders>
            <w:vAlign w:val="center"/>
          </w:tcPr>
          <w:p>
            <w:pPr>
              <w:widowControl/>
              <w:ind w:firstLine="600" w:firstLineChars="300"/>
              <w:jc w:val="left"/>
              <w:rPr>
                <w:rFonts w:hint="default" w:ascii="宋体" w:hAnsi="宋体" w:cs="宋体"/>
                <w:kern w:val="0"/>
                <w:sz w:val="20"/>
                <w:szCs w:val="20"/>
                <w:lang w:val="en-US" w:eastAsia="zh-CN"/>
              </w:rPr>
            </w:pPr>
            <w:r>
              <w:rPr>
                <w:rFonts w:hint="eastAsia" w:ascii="宋体" w:hAnsi="宋体" w:cs="宋体"/>
                <w:kern w:val="0"/>
                <w:sz w:val="20"/>
                <w:szCs w:val="20"/>
                <w:lang w:val="en-US" w:eastAsia="zh-CN"/>
              </w:rPr>
              <w:t>* *</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ascii="宋体" w:hAnsi="宋体" w:eastAsia="宋体" w:cs="宋体"/>
                <w:color w:val="auto"/>
                <w:spacing w:val="0"/>
                <w:position w:val="0"/>
                <w:sz w:val="22"/>
                <w:shd w:val="clear" w:fill="auto"/>
              </w:rPr>
              <w:t>合计</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151.37</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157</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137</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+5.63</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+3.54%</w:t>
            </w:r>
          </w:p>
        </w:tc>
      </w:tr>
      <w:tr>
        <w:tblPrEx>
          <w:tblCellMar>
            <w:top w:w="0" w:type="dxa"/>
            <w:left w:w="108" w:type="dxa"/>
            <w:bottom w:w="0" w:type="dxa"/>
            <w:right w:w="108" w:type="dxa"/>
          </w:tblCellMar>
        </w:tblPrEx>
        <w:trPr>
          <w:trHeight w:val="411" w:hRule="atLeast"/>
        </w:trPr>
        <w:tc>
          <w:tcPr>
            <w:tcW w:w="1637" w:type="dxa"/>
            <w:tcBorders>
              <w:top w:val="nil"/>
              <w:left w:val="single" w:color="auto" w:sz="4" w:space="0"/>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ascii="宋体" w:hAnsi="宋体" w:eastAsia="宋体" w:cs="宋体"/>
                <w:color w:val="auto"/>
                <w:spacing w:val="0"/>
                <w:position w:val="0"/>
                <w:sz w:val="22"/>
                <w:shd w:val="clear" w:fill="auto"/>
              </w:rPr>
              <w:t>201030</w:t>
            </w:r>
            <w:r>
              <w:rPr>
                <w:rFonts w:hint="eastAsia" w:ascii="宋体" w:hAnsi="宋体" w:cs="宋体"/>
                <w:color w:val="auto"/>
                <w:spacing w:val="0"/>
                <w:position w:val="0"/>
                <w:sz w:val="22"/>
                <w:shd w:val="clear" w:fill="auto"/>
                <w:lang w:val="en-US" w:eastAsia="zh-CN"/>
              </w:rPr>
              <w:t>8</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hint="eastAsia" w:ascii="宋体" w:hAnsi="宋体" w:cs="宋体"/>
                <w:kern w:val="0"/>
                <w:sz w:val="20"/>
                <w:szCs w:val="20"/>
              </w:rPr>
            </w:pPr>
            <w:r>
              <w:rPr>
                <w:rFonts w:ascii="宋体" w:hAnsi="宋体" w:eastAsia="宋体" w:cs="宋体"/>
                <w:color w:val="000000"/>
                <w:spacing w:val="0"/>
                <w:position w:val="0"/>
                <w:sz w:val="20"/>
                <w:shd w:val="clear" w:fill="auto"/>
              </w:rPr>
              <w:t>信访事务</w:t>
            </w:r>
          </w:p>
        </w:tc>
        <w:tc>
          <w:tcPr>
            <w:tcW w:w="177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color w:val="000000"/>
                <w:kern w:val="0"/>
                <w:sz w:val="20"/>
                <w:szCs w:val="20"/>
                <w:lang w:val="en-US" w:eastAsia="zh-CN"/>
              </w:rPr>
              <w:t>118.44</w:t>
            </w:r>
          </w:p>
        </w:tc>
        <w:tc>
          <w:tcPr>
            <w:tcW w:w="1620" w:type="dxa"/>
            <w:tcBorders>
              <w:top w:val="nil"/>
              <w:left w:val="nil"/>
              <w:bottom w:val="single" w:color="auto" w:sz="4" w:space="0"/>
              <w:right w:val="single" w:color="auto" w:sz="4" w:space="0"/>
            </w:tcBorders>
            <w:vAlign w:val="center"/>
          </w:tcPr>
          <w:p>
            <w:pPr>
              <w:widowControl/>
              <w:jc w:val="right"/>
              <w:rPr>
                <w:rFonts w:hint="default" w:ascii="宋体" w:hAnsi="宋体" w:cs="宋体"/>
                <w:kern w:val="0"/>
                <w:sz w:val="20"/>
                <w:szCs w:val="20"/>
                <w:lang w:val="en-US"/>
              </w:rPr>
            </w:pPr>
            <w:r>
              <w:rPr>
                <w:rFonts w:hint="eastAsia" w:ascii="宋体" w:hAnsi="宋体" w:cs="宋体"/>
                <w:kern w:val="0"/>
                <w:sz w:val="20"/>
                <w:szCs w:val="20"/>
                <w:lang w:val="en-US" w:eastAsia="zh-CN"/>
              </w:rPr>
              <w:t>125.45</w:t>
            </w:r>
          </w:p>
        </w:tc>
        <w:tc>
          <w:tcPr>
            <w:tcW w:w="1800"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105.45</w:t>
            </w:r>
          </w:p>
        </w:tc>
        <w:tc>
          <w:tcPr>
            <w:tcW w:w="1980"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w:t>
            </w:r>
          </w:p>
        </w:tc>
        <w:tc>
          <w:tcPr>
            <w:tcW w:w="1260" w:type="dxa"/>
            <w:gridSpan w:val="2"/>
            <w:tcBorders>
              <w:bottom w:val="single" w:color="auto" w:sz="4" w:space="0"/>
              <w:right w:val="single" w:color="auto" w:sz="4" w:space="0"/>
            </w:tcBorders>
          </w:tcPr>
          <w:p>
            <w:pPr>
              <w:widowControl/>
              <w:jc w:val="left"/>
              <w:rPr>
                <w:rFonts w:hint="default"/>
                <w:kern w:val="0"/>
                <w:sz w:val="20"/>
                <w:szCs w:val="20"/>
                <w:lang w:val="en-US"/>
              </w:rPr>
            </w:pPr>
            <w:r>
              <w:rPr>
                <w:rFonts w:hint="eastAsia"/>
                <w:kern w:val="0"/>
                <w:sz w:val="20"/>
                <w:szCs w:val="20"/>
                <w:lang w:val="en-US" w:eastAsia="zh-CN"/>
              </w:rPr>
              <w:t>+7.01</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+5.92%</w:t>
            </w:r>
          </w:p>
        </w:tc>
      </w:tr>
      <w:tr>
        <w:tblPrEx>
          <w:tblCellMar>
            <w:top w:w="0" w:type="dxa"/>
            <w:left w:w="108" w:type="dxa"/>
            <w:bottom w:w="0" w:type="dxa"/>
            <w:right w:w="108" w:type="dxa"/>
          </w:tblCellMar>
        </w:tblPrEx>
        <w:trPr>
          <w:trHeight w:val="371" w:hRule="atLeast"/>
        </w:trPr>
        <w:tc>
          <w:tcPr>
            <w:tcW w:w="1637" w:type="dxa"/>
            <w:tcBorders>
              <w:top w:val="nil"/>
              <w:left w:val="single" w:color="auto" w:sz="4" w:space="0"/>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hint="eastAsia" w:ascii="宋体" w:hAnsi="宋体" w:cs="宋体"/>
                <w:color w:val="000000"/>
                <w:kern w:val="0"/>
                <w:sz w:val="20"/>
                <w:szCs w:val="20"/>
                <w:lang w:val="en-US" w:eastAsia="zh-CN"/>
              </w:rPr>
              <w:t>2101101</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hint="eastAsia" w:ascii="宋体" w:hAnsi="宋体" w:cs="宋体"/>
                <w:kern w:val="0"/>
                <w:sz w:val="20"/>
                <w:szCs w:val="20"/>
              </w:rPr>
            </w:pPr>
            <w:r>
              <w:rPr>
                <w:rFonts w:ascii="宋体" w:hAnsi="宋体" w:eastAsia="宋体" w:cs="宋体"/>
                <w:color w:val="auto"/>
                <w:spacing w:val="0"/>
                <w:position w:val="0"/>
                <w:sz w:val="20"/>
                <w:shd w:val="clear" w:fill="auto"/>
              </w:rPr>
              <w:t>行政单位医疗</w:t>
            </w:r>
          </w:p>
        </w:tc>
        <w:tc>
          <w:tcPr>
            <w:tcW w:w="177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color w:val="000000"/>
                <w:kern w:val="0"/>
                <w:sz w:val="20"/>
                <w:szCs w:val="20"/>
                <w:lang w:val="en-US" w:eastAsia="zh-CN"/>
              </w:rPr>
              <w:t>4.65</w:t>
            </w:r>
          </w:p>
        </w:tc>
        <w:tc>
          <w:tcPr>
            <w:tcW w:w="162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6.42</w:t>
            </w:r>
          </w:p>
        </w:tc>
        <w:tc>
          <w:tcPr>
            <w:tcW w:w="1800"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6.42</w:t>
            </w:r>
          </w:p>
        </w:tc>
        <w:tc>
          <w:tcPr>
            <w:tcW w:w="198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bottom w:val="single" w:color="auto" w:sz="4" w:space="0"/>
              <w:right w:val="single" w:color="auto" w:sz="4" w:space="0"/>
            </w:tcBorders>
          </w:tcPr>
          <w:p>
            <w:pPr>
              <w:widowControl/>
              <w:jc w:val="left"/>
              <w:rPr>
                <w:rFonts w:hint="default"/>
                <w:kern w:val="0"/>
                <w:sz w:val="20"/>
                <w:szCs w:val="20"/>
                <w:lang w:val="en-US"/>
              </w:rPr>
            </w:pPr>
            <w:r>
              <w:rPr>
                <w:rFonts w:hint="eastAsia"/>
                <w:kern w:val="0"/>
                <w:sz w:val="20"/>
                <w:szCs w:val="20"/>
                <w:lang w:val="en-US" w:eastAsia="zh-CN"/>
              </w:rPr>
              <w:t>+1.75</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+37.63%</w:t>
            </w:r>
          </w:p>
        </w:tc>
      </w:tr>
      <w:tr>
        <w:tblPrEx>
          <w:tblCellMar>
            <w:top w:w="0" w:type="dxa"/>
            <w:left w:w="108" w:type="dxa"/>
            <w:bottom w:w="0" w:type="dxa"/>
            <w:right w:w="108" w:type="dxa"/>
          </w:tblCellMar>
        </w:tblPrEx>
        <w:trPr>
          <w:trHeight w:val="445" w:hRule="atLeast"/>
        </w:trPr>
        <w:tc>
          <w:tcPr>
            <w:tcW w:w="1637" w:type="dxa"/>
            <w:tcBorders>
              <w:top w:val="nil"/>
              <w:left w:val="single" w:color="auto" w:sz="4" w:space="0"/>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hint="eastAsia" w:ascii="宋体" w:hAnsi="宋体" w:cs="宋体"/>
                <w:color w:val="000000"/>
                <w:kern w:val="0"/>
                <w:sz w:val="20"/>
                <w:szCs w:val="20"/>
                <w:lang w:val="en-US" w:eastAsia="zh-CN"/>
              </w:rPr>
              <w:t>2101103</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ascii="宋体" w:hAnsi="宋体" w:eastAsia="宋体" w:cs="宋体"/>
                <w:color w:val="auto"/>
                <w:spacing w:val="0"/>
                <w:position w:val="0"/>
                <w:sz w:val="20"/>
                <w:shd w:val="clear" w:fill="auto"/>
              </w:rPr>
              <w:t>公务员医疗补助</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3.69</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kern w:val="0"/>
                <w:sz w:val="20"/>
                <w:szCs w:val="20"/>
                <w:lang w:val="en-US"/>
              </w:rPr>
            </w:pPr>
            <w:r>
              <w:rPr>
                <w:rFonts w:hint="eastAsia"/>
                <w:kern w:val="0"/>
                <w:sz w:val="20"/>
                <w:szCs w:val="20"/>
                <w:lang w:val="en-US" w:eastAsia="zh-CN"/>
              </w:rPr>
              <w:t>-1.69</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-45.80%</w:t>
            </w:r>
          </w:p>
        </w:tc>
      </w:tr>
      <w:tr>
        <w:tblPrEx>
          <w:tblCellMar>
            <w:top w:w="0" w:type="dxa"/>
            <w:left w:w="108" w:type="dxa"/>
            <w:bottom w:w="0" w:type="dxa"/>
            <w:right w:w="108" w:type="dxa"/>
          </w:tblCellMar>
        </w:tblPrEx>
        <w:trPr>
          <w:trHeight w:val="389" w:hRule="atLeast"/>
        </w:trPr>
        <w:tc>
          <w:tcPr>
            <w:tcW w:w="1637" w:type="dxa"/>
            <w:tcBorders>
              <w:top w:val="nil"/>
              <w:left w:val="single" w:color="auto" w:sz="4" w:space="0"/>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hint="eastAsia" w:ascii="宋体" w:hAnsi="宋体" w:cs="宋体"/>
                <w:color w:val="000000"/>
                <w:kern w:val="0"/>
                <w:sz w:val="20"/>
                <w:szCs w:val="20"/>
                <w:lang w:val="en-US" w:eastAsia="zh-CN"/>
              </w:rPr>
              <w:t>2080505</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ascii="宋体" w:hAnsi="宋体" w:eastAsia="宋体" w:cs="宋体"/>
                <w:color w:val="000000"/>
                <w:spacing w:val="0"/>
                <w:position w:val="0"/>
                <w:sz w:val="20"/>
                <w:shd w:val="clear" w:fill="auto"/>
              </w:rPr>
              <w:t>其他社会养老保险</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10.86</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8.58</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8.58</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kern w:val="0"/>
                <w:sz w:val="20"/>
                <w:szCs w:val="20"/>
                <w:lang w:val="en-US"/>
              </w:rPr>
            </w:pPr>
            <w:r>
              <w:rPr>
                <w:rFonts w:hint="eastAsia"/>
                <w:kern w:val="0"/>
                <w:sz w:val="20"/>
                <w:szCs w:val="20"/>
                <w:lang w:val="en-US" w:eastAsia="zh-CN"/>
              </w:rPr>
              <w:t>-2.28</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-20.99%</w:t>
            </w:r>
          </w:p>
        </w:tc>
      </w:tr>
      <w:tr>
        <w:tblPrEx>
          <w:tblCellMar>
            <w:top w:w="0" w:type="dxa"/>
            <w:left w:w="108" w:type="dxa"/>
            <w:bottom w:w="0" w:type="dxa"/>
            <w:right w:w="108" w:type="dxa"/>
          </w:tblCellMar>
        </w:tblPrEx>
        <w:trPr>
          <w:trHeight w:val="429" w:hRule="atLeast"/>
        </w:trPr>
        <w:tc>
          <w:tcPr>
            <w:tcW w:w="1637" w:type="dxa"/>
            <w:tcBorders>
              <w:top w:val="nil"/>
              <w:left w:val="single" w:color="auto" w:sz="4" w:space="0"/>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hint="eastAsia" w:ascii="宋体" w:hAnsi="宋体" w:cs="宋体"/>
                <w:color w:val="000000"/>
                <w:kern w:val="0"/>
                <w:sz w:val="20"/>
                <w:szCs w:val="20"/>
                <w:lang w:val="en-US" w:eastAsia="zh-CN"/>
              </w:rPr>
              <w:t>2080506</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ascii="宋体" w:hAnsi="宋体" w:eastAsia="宋体" w:cs="宋体"/>
                <w:color w:val="000000"/>
                <w:spacing w:val="0"/>
                <w:position w:val="0"/>
                <w:sz w:val="20"/>
                <w:shd w:val="clear" w:fill="auto"/>
              </w:rPr>
              <w:t>职业年金</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3.13</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2.66</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2.66</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kern w:val="0"/>
                <w:sz w:val="20"/>
                <w:szCs w:val="20"/>
                <w:lang w:val="en-US"/>
              </w:rPr>
            </w:pPr>
            <w:r>
              <w:rPr>
                <w:rFonts w:hint="eastAsia"/>
                <w:kern w:val="0"/>
                <w:sz w:val="20"/>
                <w:szCs w:val="20"/>
                <w:lang w:val="en-US" w:eastAsia="zh-CN"/>
              </w:rPr>
              <w:t>-0.47</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-15.02%</w:t>
            </w:r>
          </w:p>
        </w:tc>
      </w:tr>
      <w:tr>
        <w:tblPrEx>
          <w:tblCellMar>
            <w:top w:w="0" w:type="dxa"/>
            <w:left w:w="108" w:type="dxa"/>
            <w:bottom w:w="0" w:type="dxa"/>
            <w:right w:w="108" w:type="dxa"/>
          </w:tblCellMar>
        </w:tblPrEx>
        <w:trPr>
          <w:trHeight w:val="408" w:hRule="atLeast"/>
        </w:trPr>
        <w:tc>
          <w:tcPr>
            <w:tcW w:w="1637" w:type="dxa"/>
            <w:tcBorders>
              <w:top w:val="nil"/>
              <w:left w:val="single" w:color="auto" w:sz="4" w:space="0"/>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hint="eastAsia" w:ascii="宋体" w:hAnsi="宋体" w:cs="宋体"/>
                <w:color w:val="000000"/>
                <w:spacing w:val="0"/>
                <w:position w:val="0"/>
                <w:sz w:val="20"/>
                <w:shd w:val="clear" w:fill="auto"/>
                <w:lang w:val="en-US" w:eastAsia="zh-CN"/>
              </w:rPr>
              <w:t>2210201</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ascii="宋体" w:hAnsi="宋体" w:eastAsia="宋体" w:cs="宋体"/>
                <w:color w:val="auto"/>
                <w:spacing w:val="0"/>
                <w:position w:val="0"/>
                <w:sz w:val="20"/>
                <w:shd w:val="clear" w:fill="auto"/>
              </w:rPr>
              <w:t>住房公积金</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7.43</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6.53</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6.53</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kern w:val="0"/>
                <w:sz w:val="20"/>
                <w:szCs w:val="20"/>
                <w:lang w:val="en-US"/>
              </w:rPr>
            </w:pPr>
            <w:r>
              <w:rPr>
                <w:rFonts w:hint="eastAsia"/>
                <w:kern w:val="0"/>
                <w:sz w:val="20"/>
                <w:szCs w:val="20"/>
                <w:lang w:val="en-US" w:eastAsia="zh-CN"/>
              </w:rPr>
              <w:t>-0.9</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lang w:val="en-US" w:eastAsia="zh-CN"/>
              </w:rPr>
              <w:t>-12.11%</w:t>
            </w:r>
          </w:p>
        </w:tc>
      </w:tr>
      <w:tr>
        <w:tblPrEx>
          <w:tblCellMar>
            <w:top w:w="0" w:type="dxa"/>
            <w:left w:w="108" w:type="dxa"/>
            <w:bottom w:w="0" w:type="dxa"/>
            <w:right w:w="108" w:type="dxa"/>
          </w:tblCellMar>
        </w:tblPrEx>
        <w:trPr>
          <w:trHeight w:val="441" w:hRule="atLeast"/>
        </w:trPr>
        <w:tc>
          <w:tcPr>
            <w:tcW w:w="1637" w:type="dxa"/>
            <w:tcBorders>
              <w:top w:val="nil"/>
              <w:left w:val="single" w:color="auto" w:sz="4" w:space="0"/>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hint="eastAsia" w:ascii="宋体" w:hAnsi="宋体" w:cs="宋体"/>
                <w:color w:val="000000"/>
                <w:spacing w:val="0"/>
                <w:position w:val="0"/>
                <w:sz w:val="20"/>
                <w:shd w:val="clear" w:fill="auto"/>
                <w:lang w:val="en-US" w:eastAsia="zh-CN"/>
              </w:rPr>
              <w:t>2080501</w:t>
            </w:r>
          </w:p>
        </w:tc>
        <w:tc>
          <w:tcPr>
            <w:tcW w:w="1980" w:type="dxa"/>
            <w:tcBorders>
              <w:top w:val="nil"/>
              <w:left w:val="nil"/>
              <w:bottom w:val="single" w:color="auto" w:sz="4" w:space="0"/>
              <w:right w:val="single" w:color="auto" w:sz="4" w:space="0"/>
            </w:tcBorders>
            <w:vAlign w:val="center"/>
          </w:tcPr>
          <w:p>
            <w:pPr>
              <w:spacing w:before="0" w:after="0" w:line="240" w:lineRule="auto"/>
              <w:ind w:left="0" w:leftChars="0" w:right="0" w:rightChars="0" w:firstLine="0" w:firstLineChars="0"/>
              <w:jc w:val="center"/>
              <w:rPr>
                <w:rFonts w:ascii="宋体" w:hAnsi="宋体" w:cs="宋体"/>
                <w:kern w:val="0"/>
                <w:sz w:val="20"/>
                <w:szCs w:val="20"/>
              </w:rPr>
            </w:pPr>
            <w:r>
              <w:rPr>
                <w:rFonts w:hint="eastAsia" w:ascii="宋体" w:hAnsi="宋体" w:cs="宋体"/>
                <w:color w:val="auto"/>
                <w:spacing w:val="0"/>
                <w:position w:val="0"/>
                <w:sz w:val="20"/>
                <w:shd w:val="clear" w:fill="auto"/>
                <w:lang w:eastAsia="zh-CN"/>
              </w:rPr>
              <w:t>行政单位离退休</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2.4</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5.36</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5.36</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default"/>
                <w:kern w:val="0"/>
                <w:sz w:val="20"/>
                <w:szCs w:val="20"/>
                <w:lang w:val="en-US"/>
              </w:rPr>
            </w:pPr>
            <w:r>
              <w:rPr>
                <w:rFonts w:hint="eastAsia"/>
                <w:kern w:val="0"/>
                <w:sz w:val="20"/>
                <w:szCs w:val="20"/>
                <w:lang w:val="en-US" w:eastAsia="zh-CN"/>
              </w:rPr>
              <w:t>+2.96</w:t>
            </w:r>
          </w:p>
        </w:tc>
        <w:tc>
          <w:tcPr>
            <w:tcW w:w="1454" w:type="dxa"/>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r>
              <w:rPr>
                <w:rFonts w:hint="eastAsia"/>
                <w:kern w:val="0"/>
                <w:sz w:val="20"/>
                <w:szCs w:val="20"/>
                <w:lang w:val="en-US" w:eastAsia="zh-CN"/>
              </w:rPr>
              <w:t>+1.23%</w:t>
            </w:r>
          </w:p>
        </w:tc>
      </w:tr>
    </w:tbl>
    <w:p>
      <w:pPr>
        <w:widowControl/>
        <w:spacing w:line="520" w:lineRule="exact"/>
        <w:ind w:firstLine="640" w:firstLineChars="200"/>
        <w:outlineLvl w:val="1"/>
        <w:rPr>
          <w:rFonts w:hint="eastAsia" w:ascii="黑体" w:hAnsi="宋体" w:eastAsia="黑体"/>
          <w:b/>
          <w:kern w:val="0"/>
          <w:sz w:val="32"/>
          <w:szCs w:val="32"/>
        </w:rPr>
      </w:pPr>
    </w:p>
    <w:p>
      <w:pPr>
        <w:widowControl/>
        <w:spacing w:line="520" w:lineRule="exact"/>
        <w:ind w:firstLine="640" w:firstLineChars="200"/>
        <w:outlineLvl w:val="1"/>
        <w:rPr>
          <w:rFonts w:hint="eastAsia"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128.9</w:t>
            </w: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8.1</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128.9</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128.9</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17.82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17.82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15.07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15.07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19.97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19.97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8.57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8.57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2.66</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2.66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4.72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4.72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2</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0.36</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6.53</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6.53</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36.57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36.57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cs="宋体"/>
                <w:sz w:val="22"/>
                <w:szCs w:val="22"/>
                <w:lang w:val="en-US"/>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0.4</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7.2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0.96</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jc w:val="center"/>
              <w:rPr>
                <w:rFonts w:hint="default" w:ascii="宋体" w:hAnsi="宋体" w:cs="宋体"/>
                <w:sz w:val="22"/>
                <w:szCs w:val="22"/>
                <w:lang w:val="en-US"/>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3.46</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5.36</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5.36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0.37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outlineLvl w:val="1"/>
        <w:rPr>
          <w:rFonts w:ascii="黑体" w:hAnsi="宋体" w:eastAsia="黑体"/>
          <w:b/>
          <w:kern w:val="0"/>
          <w:sz w:val="32"/>
          <w:szCs w:val="32"/>
        </w:rPr>
      </w:pPr>
      <w:r>
        <w:rPr>
          <w:rFonts w:hint="eastAsia" w:ascii="黑体" w:hAnsi="宋体" w:eastAsia="黑体"/>
          <w:b/>
          <w:kern w:val="0"/>
          <w:sz w:val="32"/>
          <w:szCs w:val="32"/>
        </w:rPr>
        <w:t>四、一般公共预算 “三公”经费支出预算表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r>
      <w:tr>
        <w:tblPrEx>
          <w:tblCellMar>
            <w:top w:w="0" w:type="dxa"/>
            <w:left w:w="108" w:type="dxa"/>
            <w:bottom w:w="0" w:type="dxa"/>
            <w:right w:w="108" w:type="dxa"/>
          </w:tblCellMar>
        </w:tblPrEx>
        <w:trPr>
          <w:trHeight w:val="546"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信访局2021年没有“三公”经费的预算。原因是：</w:t>
      </w:r>
      <w:r>
        <w:rPr>
          <w:rFonts w:hint="eastAsia" w:ascii="仿宋" w:hAnsi="仿宋" w:eastAsia="仿宋" w:cs="宋体"/>
          <w:kern w:val="0"/>
          <w:sz w:val="32"/>
          <w:szCs w:val="32"/>
        </w:rPr>
        <w:t>一</w:t>
      </w:r>
      <w:r>
        <w:rPr>
          <w:rFonts w:hint="eastAsia" w:ascii="仿宋" w:hAnsi="仿宋" w:eastAsia="仿宋" w:cs="宋体"/>
          <w:kern w:val="0"/>
          <w:sz w:val="32"/>
          <w:szCs w:val="32"/>
          <w:lang w:val="en-US" w:eastAsia="zh-CN"/>
        </w:rPr>
        <w:t>是信访局</w:t>
      </w:r>
      <w:r>
        <w:rPr>
          <w:rFonts w:hint="eastAsia" w:ascii="仿宋" w:hAnsi="仿宋" w:eastAsia="仿宋" w:cs="宋体"/>
          <w:kern w:val="0"/>
          <w:sz w:val="32"/>
          <w:szCs w:val="32"/>
        </w:rPr>
        <w:t>已参加车改，没有公务车，因此公务用车购置费和运行费均为</w:t>
      </w:r>
      <w:r>
        <w:rPr>
          <w:rFonts w:ascii="仿宋" w:hAnsi="仿宋" w:eastAsia="仿宋" w:cs="宋体"/>
          <w:kern w:val="0"/>
          <w:sz w:val="32"/>
          <w:szCs w:val="32"/>
        </w:rPr>
        <w:t>0</w:t>
      </w:r>
      <w:r>
        <w:rPr>
          <w:rFonts w:hint="eastAsia" w:ascii="仿宋" w:hAnsi="仿宋" w:eastAsia="仿宋" w:cs="宋体"/>
          <w:kern w:val="0"/>
          <w:sz w:val="32"/>
          <w:szCs w:val="32"/>
        </w:rPr>
        <w:t>，二</w:t>
      </w:r>
      <w:r>
        <w:rPr>
          <w:rFonts w:hint="eastAsia" w:ascii="仿宋" w:hAnsi="仿宋" w:eastAsia="仿宋" w:cs="宋体"/>
          <w:kern w:val="0"/>
          <w:sz w:val="32"/>
          <w:szCs w:val="32"/>
          <w:lang w:val="en-US" w:eastAsia="zh-CN"/>
        </w:rPr>
        <w:t>是</w:t>
      </w:r>
      <w:r>
        <w:rPr>
          <w:rFonts w:hint="eastAsia" w:ascii="仿宋" w:hAnsi="仿宋" w:eastAsia="仿宋" w:cs="宋体"/>
          <w:kern w:val="0"/>
          <w:sz w:val="32"/>
          <w:szCs w:val="32"/>
        </w:rPr>
        <w:t>是因为</w:t>
      </w:r>
      <w:r>
        <w:rPr>
          <w:rFonts w:hint="eastAsia" w:ascii="仿宋" w:hAnsi="仿宋" w:eastAsia="仿宋" w:cs="宋体"/>
          <w:kern w:val="0"/>
          <w:sz w:val="32"/>
          <w:szCs w:val="32"/>
          <w:lang w:val="en-US" w:eastAsia="zh-CN"/>
        </w:rPr>
        <w:t>信访局</w:t>
      </w:r>
      <w:r>
        <w:rPr>
          <w:rFonts w:hint="eastAsia" w:ascii="仿宋" w:hAnsi="仿宋" w:eastAsia="仿宋" w:cs="宋体"/>
          <w:kern w:val="0"/>
          <w:sz w:val="32"/>
          <w:szCs w:val="32"/>
        </w:rPr>
        <w:t>工作性质特点，因此没有因公出国出境事项，也没有公务接待产生。</w:t>
      </w:r>
    </w:p>
    <w:p>
      <w:pPr>
        <w:rPr>
          <w:rFonts w:ascii="仿宋_GB2312" w:hAnsi="宋体" w:eastAsia="仿宋_GB2312"/>
          <w:kern w:val="0"/>
          <w:sz w:val="32"/>
          <w:szCs w:val="32"/>
        </w:rPr>
      </w:pP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rPr>
        <w:t>五、政府性基金预算财政拨款支出预算表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w:t>
            </w:r>
          </w:p>
        </w:tc>
        <w:tc>
          <w:tcPr>
            <w:tcW w:w="1418"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w:t>
            </w: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hint="eastAsia" w:ascii="黑体" w:hAnsi="宋体" w:eastAsia="仿宋"/>
          <w:b/>
          <w:kern w:val="0"/>
          <w:sz w:val="32"/>
          <w:szCs w:val="32"/>
          <w:lang w:eastAsia="zh-CN"/>
        </w:rPr>
      </w:pPr>
      <w:r>
        <w:rPr>
          <w:rFonts w:hint="eastAsia" w:ascii="仿宋" w:hAnsi="仿宋" w:eastAsia="仿宋" w:cs="宋体"/>
          <w:bCs/>
          <w:kern w:val="0"/>
          <w:sz w:val="32"/>
          <w:szCs w:val="32"/>
        </w:rPr>
        <w:t>金凤区</w:t>
      </w:r>
      <w:r>
        <w:rPr>
          <w:rFonts w:hint="eastAsia" w:ascii="仿宋" w:hAnsi="仿宋" w:eastAsia="仿宋" w:cs="宋体"/>
          <w:bCs/>
          <w:kern w:val="0"/>
          <w:sz w:val="32"/>
          <w:szCs w:val="32"/>
          <w:lang w:val="en-US" w:eastAsia="zh-CN"/>
        </w:rPr>
        <w:t>信访局</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年无政府性基金预算财政拨款收支</w:t>
      </w:r>
      <w:r>
        <w:rPr>
          <w:rFonts w:hint="eastAsia" w:ascii="仿宋" w:hAnsi="仿宋" w:eastAsia="仿宋" w:cs="宋体"/>
          <w:kern w:val="0"/>
          <w:sz w:val="32"/>
          <w:szCs w:val="32"/>
          <w:lang w:eastAsia="zh-CN"/>
        </w:rPr>
        <w:t>。</w:t>
      </w:r>
    </w:p>
    <w:p>
      <w:pPr>
        <w:widowControl/>
        <w:ind w:firstLine="640" w:firstLineChars="200"/>
        <w:outlineLvl w:val="1"/>
        <w:rPr>
          <w:rFonts w:hint="eastAsia"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137</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widowControl/>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157</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hint="eastAsia"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ind w:firstLine="600" w:firstLineChars="300"/>
              <w:jc w:val="left"/>
              <w:rPr>
                <w:rFonts w:ascii="宋体" w:hAnsi="宋体" w:cs="宋体"/>
                <w:color w:val="000000"/>
                <w:kern w:val="0"/>
                <w:sz w:val="18"/>
                <w:szCs w:val="18"/>
              </w:rPr>
            </w:pPr>
            <w:r>
              <w:rPr>
                <w:rFonts w:hint="eastAsia" w:ascii="宋体" w:hAnsi="宋体" w:cs="宋体"/>
                <w:kern w:val="0"/>
                <w:sz w:val="20"/>
                <w:szCs w:val="20"/>
                <w:lang w:val="en-US" w:eastAsia="zh-CN"/>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18"/>
                <w:szCs w:val="18"/>
              </w:rPr>
            </w:pPr>
            <w:r>
              <w:rPr>
                <w:rFonts w:hint="eastAsia" w:ascii="宋体" w:hAnsi="宋体" w:cs="宋体"/>
                <w:kern w:val="0"/>
                <w:sz w:val="20"/>
                <w:szCs w:val="20"/>
                <w:lang w:val="en-US" w:eastAsia="zh-CN"/>
              </w:rPr>
              <w:t>157</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18"/>
                <w:szCs w:val="18"/>
              </w:rPr>
            </w:pPr>
            <w:r>
              <w:rPr>
                <w:rFonts w:hint="eastAsia" w:ascii="宋体" w:hAnsi="宋体" w:cs="宋体"/>
                <w:kern w:val="0"/>
                <w:sz w:val="20"/>
                <w:szCs w:val="20"/>
                <w:lang w:val="en-US" w:eastAsia="zh-CN"/>
              </w:rPr>
              <w:t>157</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0" w:leftChars="0" w:right="0" w:rightChars="0" w:firstLine="0" w:firstLineChars="0"/>
              <w:jc w:val="center"/>
              <w:rPr>
                <w:rFonts w:ascii="Calibri" w:hAnsi="Calibri" w:cs="宋体"/>
                <w:color w:val="000000"/>
                <w:kern w:val="0"/>
                <w:sz w:val="22"/>
                <w:szCs w:val="22"/>
              </w:rPr>
            </w:pPr>
            <w:r>
              <w:rPr>
                <w:rFonts w:ascii="宋体" w:hAnsi="宋体" w:eastAsia="宋体" w:cs="宋体"/>
                <w:color w:val="auto"/>
                <w:spacing w:val="0"/>
                <w:position w:val="0"/>
                <w:sz w:val="22"/>
                <w:shd w:val="clear" w:fill="auto"/>
              </w:rPr>
              <w:t>201030</w:t>
            </w:r>
            <w:r>
              <w:rPr>
                <w:rFonts w:hint="eastAsia" w:ascii="宋体" w:hAnsi="宋体" w:cs="宋体"/>
                <w:color w:val="auto"/>
                <w:spacing w:val="0"/>
                <w:position w:val="0"/>
                <w:sz w:val="22"/>
                <w:shd w:val="clear" w:fill="auto"/>
                <w:lang w:val="en-US" w:eastAsia="zh-CN"/>
              </w:rPr>
              <w:t>8</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125.45</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125.45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0" w:leftChars="0" w:right="0" w:rightChars="0" w:firstLine="0" w:firstLineChars="0"/>
              <w:jc w:val="center"/>
              <w:rPr>
                <w:rFonts w:ascii="Calibri" w:hAnsi="Calibri" w:cs="宋体"/>
                <w:color w:val="000000"/>
                <w:kern w:val="0"/>
                <w:sz w:val="22"/>
                <w:szCs w:val="22"/>
              </w:rPr>
            </w:pPr>
            <w:r>
              <w:rPr>
                <w:rFonts w:hint="eastAsia" w:ascii="宋体" w:hAnsi="宋体" w:cs="宋体"/>
                <w:color w:val="000000"/>
                <w:kern w:val="0"/>
                <w:sz w:val="20"/>
                <w:szCs w:val="20"/>
                <w:lang w:val="en-US" w:eastAsia="zh-CN"/>
              </w:rPr>
              <w:t>2101101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6.42</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6.42</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0" w:leftChars="0" w:right="0" w:rightChars="0" w:firstLine="0" w:firstLineChars="0"/>
              <w:jc w:val="center"/>
              <w:rPr>
                <w:rFonts w:ascii="Calibri" w:hAnsi="Calibri" w:cs="宋体"/>
                <w:color w:val="000000"/>
                <w:kern w:val="0"/>
                <w:sz w:val="22"/>
                <w:szCs w:val="22"/>
              </w:rPr>
            </w:pPr>
            <w:r>
              <w:rPr>
                <w:rFonts w:hint="eastAsia" w:ascii="宋体" w:hAnsi="宋体" w:cs="宋体"/>
                <w:color w:val="000000"/>
                <w:kern w:val="0"/>
                <w:sz w:val="20"/>
                <w:szCs w:val="20"/>
                <w:lang w:val="en-US" w:eastAsia="zh-CN"/>
              </w:rPr>
              <w:t>2101103</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2</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2</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0" w:leftChars="0" w:right="0" w:rightChars="0" w:firstLine="0" w:firstLineChars="0"/>
              <w:jc w:val="center"/>
              <w:rPr>
                <w:rFonts w:ascii="Calibri" w:hAnsi="Calibri" w:cs="宋体"/>
                <w:color w:val="000000"/>
                <w:kern w:val="0"/>
                <w:sz w:val="22"/>
                <w:szCs w:val="22"/>
              </w:rPr>
            </w:pPr>
            <w:r>
              <w:rPr>
                <w:rFonts w:hint="eastAsia" w:ascii="宋体" w:hAnsi="宋体" w:cs="宋体"/>
                <w:color w:val="000000"/>
                <w:kern w:val="0"/>
                <w:sz w:val="20"/>
                <w:szCs w:val="20"/>
                <w:lang w:val="en-US" w:eastAsia="zh-CN"/>
              </w:rPr>
              <w:t>2080505</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8.58</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8.58</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0" w:leftChars="0" w:right="0" w:rightChars="0" w:firstLine="0" w:firstLineChars="0"/>
              <w:jc w:val="center"/>
              <w:rPr>
                <w:rFonts w:ascii="Calibri" w:hAnsi="Calibri" w:cs="宋体"/>
                <w:color w:val="000000"/>
                <w:kern w:val="0"/>
                <w:sz w:val="22"/>
                <w:szCs w:val="22"/>
              </w:rPr>
            </w:pPr>
            <w:r>
              <w:rPr>
                <w:rFonts w:hint="eastAsia" w:ascii="宋体" w:hAnsi="宋体" w:cs="宋体"/>
                <w:color w:val="000000"/>
                <w:kern w:val="0"/>
                <w:sz w:val="20"/>
                <w:szCs w:val="20"/>
                <w:lang w:val="en-US" w:eastAsia="zh-CN"/>
              </w:rPr>
              <w:t>2080506</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2.66</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2.66</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0" w:leftChars="0" w:right="0" w:rightChars="0" w:firstLine="0" w:firstLineChars="0"/>
              <w:jc w:val="center"/>
              <w:rPr>
                <w:rFonts w:ascii="Calibri" w:hAnsi="Calibri" w:cs="宋体"/>
                <w:color w:val="000000"/>
                <w:kern w:val="0"/>
                <w:sz w:val="22"/>
                <w:szCs w:val="22"/>
              </w:rPr>
            </w:pPr>
            <w:r>
              <w:rPr>
                <w:rFonts w:hint="eastAsia" w:ascii="宋体" w:hAnsi="宋体" w:cs="宋体"/>
                <w:color w:val="000000"/>
                <w:spacing w:val="0"/>
                <w:position w:val="0"/>
                <w:sz w:val="20"/>
                <w:shd w:val="clear" w:fill="auto"/>
                <w:lang w:val="en-US" w:eastAsia="zh-CN"/>
              </w:rPr>
              <w:t>2210201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6.53</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6.53</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0" w:leftChars="0" w:right="0" w:rightChars="0" w:firstLine="0" w:firstLineChars="0"/>
              <w:jc w:val="center"/>
              <w:rPr>
                <w:rFonts w:ascii="Calibri" w:hAnsi="Calibri" w:cs="宋体"/>
                <w:color w:val="000000"/>
                <w:kern w:val="0"/>
                <w:sz w:val="22"/>
                <w:szCs w:val="22"/>
              </w:rPr>
            </w:pPr>
            <w:r>
              <w:rPr>
                <w:rFonts w:hint="eastAsia" w:ascii="宋体" w:hAnsi="宋体" w:cs="宋体"/>
                <w:color w:val="000000"/>
                <w:spacing w:val="0"/>
                <w:position w:val="0"/>
                <w:sz w:val="20"/>
                <w:shd w:val="clear" w:fill="auto"/>
                <w:lang w:val="en-US" w:eastAsia="zh-CN"/>
              </w:rPr>
              <w:t>2080501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5.36</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5.36</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lang w:val="en-US" w:eastAsia="zh-CN"/>
        </w:rPr>
        <w:t>金凤区信访局</w:t>
      </w:r>
      <w:r>
        <w:rPr>
          <w:rFonts w:hint="eastAsia" w:ascii="仿宋_GB2312" w:hAnsi="宋体" w:eastAsia="仿宋_GB2312"/>
          <w:b/>
          <w:bCs/>
          <w:kern w:val="0"/>
          <w:sz w:val="36"/>
          <w:szCs w:val="36"/>
        </w:rPr>
        <w:t>2021年部门预算—</w:t>
      </w:r>
      <w:r>
        <w:rPr>
          <w:rFonts w:hint="eastAsia" w:ascii="仿宋_GB2312" w:hAnsi="宋体" w:eastAsia="仿宋_GB2312"/>
          <w:b/>
          <w:bCs/>
          <w:kern w:val="0"/>
          <w:sz w:val="36"/>
          <w:szCs w:val="36"/>
          <w:lang w:val="en-US" w:eastAsia="zh-CN"/>
        </w:rPr>
        <w:t xml:space="preserve"> </w:t>
      </w:r>
      <w:r>
        <w:rPr>
          <w:rFonts w:hint="eastAsia" w:ascii="仿宋_GB2312" w:hAnsi="宋体" w:eastAsia="仿宋_GB2312"/>
          <w:b/>
          <w:bCs/>
          <w:kern w:val="0"/>
          <w:sz w:val="36"/>
          <w:szCs w:val="36"/>
        </w:rPr>
        <w:t>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val="en-US" w:eastAsia="zh-CN"/>
        </w:rPr>
        <w:t>金凤区信访局</w:t>
      </w:r>
      <w:r>
        <w:rPr>
          <w:rFonts w:hint="eastAsia" w:ascii="黑体" w:eastAsia="黑体" w:cs="宋体"/>
          <w:b/>
          <w:bCs/>
          <w:kern w:val="0"/>
          <w:sz w:val="32"/>
          <w:szCs w:val="32"/>
        </w:rPr>
        <w:t>2021年财政拨款收支预算情况的总体说明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金凤区信访局</w:t>
      </w:r>
      <w:r>
        <w:rPr>
          <w:rFonts w:hint="eastAsia" w:ascii="仿宋_GB2312" w:hAnsi="宋体" w:eastAsia="仿宋_GB2312" w:cs="宋体"/>
          <w:kern w:val="0"/>
          <w:sz w:val="32"/>
          <w:szCs w:val="32"/>
        </w:rPr>
        <w:t xml:space="preserve">2021年财政拨款收入预算 </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 万元，其中：本年收入</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万元，包括一般公共预算拨款 </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 万元，政府性基金预算拨款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万元；上年结转结余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万元。支出预算 </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万元，包括：按政府收支分类功能科目逐项说明。如，一般公共服务支出 </w:t>
      </w:r>
      <w:r>
        <w:rPr>
          <w:rFonts w:hint="eastAsia" w:ascii="仿宋_GB2312" w:hAnsi="宋体" w:eastAsia="仿宋_GB2312" w:cs="宋体"/>
          <w:kern w:val="0"/>
          <w:sz w:val="32"/>
          <w:szCs w:val="32"/>
          <w:lang w:val="en-US" w:eastAsia="zh-CN"/>
        </w:rPr>
        <w:t>125.46</w:t>
      </w:r>
      <w:r>
        <w:rPr>
          <w:rFonts w:hint="eastAsia" w:ascii="仿宋_GB2312" w:hAnsi="宋体" w:eastAsia="仿宋_GB2312" w:cs="宋体"/>
          <w:kern w:val="0"/>
          <w:sz w:val="32"/>
          <w:szCs w:val="32"/>
        </w:rPr>
        <w:t xml:space="preserve">万元、社会保障和就业支出 </w:t>
      </w:r>
      <w:r>
        <w:rPr>
          <w:rFonts w:hint="eastAsia" w:ascii="仿宋_GB2312" w:hAnsi="宋体" w:eastAsia="仿宋_GB2312" w:cs="宋体"/>
          <w:kern w:val="0"/>
          <w:sz w:val="32"/>
          <w:szCs w:val="32"/>
          <w:lang w:val="en-US" w:eastAsia="zh-CN"/>
        </w:rPr>
        <w:t>16.6</w:t>
      </w:r>
      <w:r>
        <w:rPr>
          <w:rFonts w:hint="eastAsia" w:ascii="仿宋_GB2312" w:hAnsi="宋体" w:eastAsia="仿宋_GB2312" w:cs="宋体"/>
          <w:kern w:val="0"/>
          <w:sz w:val="32"/>
          <w:szCs w:val="32"/>
        </w:rPr>
        <w:t xml:space="preserve"> 万元、</w:t>
      </w:r>
      <w:r>
        <w:rPr>
          <w:rFonts w:hint="eastAsia" w:ascii="仿宋_GB2312" w:hAnsi="宋体" w:eastAsia="仿宋_GB2312" w:cs="宋体"/>
          <w:kern w:val="0"/>
          <w:sz w:val="32"/>
          <w:szCs w:val="32"/>
          <w:lang w:val="en-US" w:eastAsia="zh-CN"/>
        </w:rPr>
        <w:t>卫生健康支出8.41、</w:t>
      </w:r>
      <w:r>
        <w:rPr>
          <w:rFonts w:hint="eastAsia" w:ascii="仿宋_GB2312" w:hAnsi="宋体" w:eastAsia="仿宋_GB2312" w:cs="宋体"/>
          <w:kern w:val="0"/>
          <w:sz w:val="32"/>
          <w:szCs w:val="32"/>
        </w:rPr>
        <w:t xml:space="preserve">住房保障支出 </w:t>
      </w:r>
      <w:r>
        <w:rPr>
          <w:rFonts w:hint="eastAsia" w:ascii="仿宋_GB2312" w:hAnsi="宋体" w:eastAsia="仿宋_GB2312" w:cs="宋体"/>
          <w:kern w:val="0"/>
          <w:sz w:val="32"/>
          <w:szCs w:val="32"/>
          <w:lang w:val="en-US" w:eastAsia="zh-CN"/>
        </w:rPr>
        <w:t>6.53</w:t>
      </w:r>
      <w:r>
        <w:rPr>
          <w:rFonts w:hint="eastAsia" w:ascii="仿宋_GB2312" w:hAnsi="宋体" w:eastAsia="仿宋_GB2312" w:cs="宋体"/>
          <w:kern w:val="0"/>
          <w:sz w:val="32"/>
          <w:szCs w:val="32"/>
        </w:rPr>
        <w:t xml:space="preserve"> 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宋体" w:eastAsia="黑体" w:cs="宋体"/>
          <w:b/>
          <w:bCs/>
          <w:kern w:val="0"/>
          <w:sz w:val="32"/>
          <w:szCs w:val="32"/>
          <w:lang w:val="en-US" w:eastAsia="zh-CN"/>
        </w:rPr>
        <w:t>金凤区信访局</w:t>
      </w:r>
      <w:r>
        <w:rPr>
          <w:rFonts w:hint="eastAsia" w:ascii="黑体" w:hAnsi="宋体" w:eastAsia="黑体" w:cs="宋体"/>
          <w:b/>
          <w:bCs/>
          <w:kern w:val="0"/>
          <w:sz w:val="32"/>
          <w:szCs w:val="32"/>
        </w:rPr>
        <w:t>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金凤区信访局</w:t>
      </w:r>
      <w:r>
        <w:rPr>
          <w:rFonts w:hint="eastAsia" w:ascii="仿宋_GB2312" w:hAnsi="宋体" w:eastAsia="仿宋_GB2312" w:cs="宋体"/>
          <w:kern w:val="0"/>
          <w:sz w:val="32"/>
          <w:szCs w:val="32"/>
        </w:rPr>
        <w:t xml:space="preserve">2021年一般公共预算财政拨款基本支出 </w:t>
      </w:r>
      <w:r>
        <w:rPr>
          <w:rFonts w:hint="eastAsia" w:ascii="仿宋_GB2312" w:hAnsi="宋体" w:eastAsia="仿宋_GB2312" w:cs="宋体"/>
          <w:kern w:val="0"/>
          <w:sz w:val="32"/>
          <w:szCs w:val="32"/>
          <w:lang w:val="en-US" w:eastAsia="zh-CN"/>
        </w:rPr>
        <w:t>137</w:t>
      </w:r>
      <w:r>
        <w:rPr>
          <w:rFonts w:hint="eastAsia" w:ascii="仿宋_GB2312" w:hAnsi="宋体" w:eastAsia="仿宋_GB2312" w:cs="宋体"/>
          <w:kern w:val="0"/>
          <w:sz w:val="32"/>
          <w:szCs w:val="32"/>
        </w:rPr>
        <w:t xml:space="preserve">万元，其中：本年收入安排支出 </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万元，上年结转资金安排支出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万元。比上年执行数（决算数）增加</w:t>
      </w:r>
      <w:r>
        <w:rPr>
          <w:rFonts w:hint="eastAsia" w:ascii="仿宋_GB2312" w:hAnsi="宋体" w:eastAsia="仿宋_GB2312" w:cs="宋体"/>
          <w:kern w:val="0"/>
          <w:sz w:val="32"/>
          <w:szCs w:val="32"/>
          <w:lang w:val="en-US" w:eastAsia="zh-CN"/>
        </w:rPr>
        <w:t>5.63</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3.72</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121.7</w:t>
      </w:r>
      <w:r>
        <w:rPr>
          <w:rFonts w:hint="eastAsia" w:ascii="仿宋_GB2312" w:hAnsi="宋体" w:eastAsia="仿宋_GB2312" w:cs="宋体"/>
          <w:kern w:val="0"/>
          <w:sz w:val="32"/>
          <w:szCs w:val="32"/>
        </w:rPr>
        <w:t xml:space="preserve"> 万元，主要包括：按部门支出经济分类科目分项说明。如，基本工资</w:t>
      </w:r>
      <w:r>
        <w:rPr>
          <w:rFonts w:hint="eastAsia" w:ascii="仿宋_GB2312" w:hAnsi="宋体" w:eastAsia="仿宋_GB2312" w:cs="宋体"/>
          <w:kern w:val="0"/>
          <w:sz w:val="32"/>
          <w:szCs w:val="32"/>
          <w:lang w:val="en-US" w:eastAsia="zh-CN"/>
        </w:rPr>
        <w:t>17.82万元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15.07万元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19.97万元</w:t>
      </w:r>
      <w:r>
        <w:rPr>
          <w:rFonts w:hint="eastAsia" w:ascii="仿宋_GB2312" w:hAnsi="宋体" w:eastAsia="仿宋_GB2312" w:cs="宋体"/>
          <w:kern w:val="0"/>
          <w:sz w:val="32"/>
          <w:szCs w:val="32"/>
        </w:rPr>
        <w:t>、社会保障缴费</w:t>
      </w:r>
      <w:r>
        <w:rPr>
          <w:rFonts w:hint="eastAsia" w:ascii="仿宋_GB2312" w:hAnsi="宋体" w:eastAsia="仿宋_GB2312" w:cs="宋体"/>
          <w:kern w:val="0"/>
          <w:sz w:val="32"/>
          <w:szCs w:val="32"/>
          <w:lang w:val="en-US" w:eastAsia="zh-CN"/>
        </w:rPr>
        <w:t>20.01万元</w:t>
      </w:r>
      <w:r>
        <w:rPr>
          <w:rFonts w:hint="eastAsia" w:ascii="仿宋_GB2312" w:hAnsi="宋体" w:eastAsia="仿宋_GB2312" w:cs="宋体"/>
          <w:kern w:val="0"/>
          <w:sz w:val="32"/>
          <w:szCs w:val="32"/>
        </w:rPr>
        <w:t>、伙食补助费、绩效工资、其他工资福利支出</w:t>
      </w:r>
      <w:r>
        <w:rPr>
          <w:rFonts w:hint="eastAsia" w:ascii="仿宋_GB2312" w:hAnsi="宋体" w:eastAsia="仿宋_GB2312" w:cs="宋体"/>
          <w:kern w:val="0"/>
          <w:sz w:val="32"/>
          <w:szCs w:val="32"/>
          <w:lang w:val="en-US" w:eastAsia="zh-CN"/>
        </w:rPr>
        <w:t>36.58万元</w:t>
      </w:r>
      <w:r>
        <w:rPr>
          <w:rFonts w:hint="eastAsia" w:ascii="仿宋_GB2312" w:hAnsi="宋体" w:eastAsia="仿宋_GB2312" w:cs="宋体"/>
          <w:kern w:val="0"/>
          <w:sz w:val="32"/>
          <w:szCs w:val="32"/>
        </w:rPr>
        <w:t>、离休费、退休费</w:t>
      </w:r>
      <w:r>
        <w:rPr>
          <w:rFonts w:hint="eastAsia" w:ascii="仿宋_GB2312" w:hAnsi="宋体" w:eastAsia="仿宋_GB2312" w:cs="宋体"/>
          <w:kern w:val="0"/>
          <w:sz w:val="32"/>
          <w:szCs w:val="32"/>
          <w:lang w:val="en-US" w:eastAsia="zh-CN"/>
        </w:rPr>
        <w:t>5.35万元</w:t>
      </w:r>
      <w:r>
        <w:rPr>
          <w:rFonts w:hint="eastAsia" w:ascii="仿宋_GB2312" w:hAnsi="宋体" w:eastAsia="仿宋_GB2312" w:cs="宋体"/>
          <w:kern w:val="0"/>
          <w:sz w:val="32"/>
          <w:szCs w:val="32"/>
        </w:rPr>
        <w:t>、抚恤金、生活补助</w:t>
      </w:r>
      <w:r>
        <w:rPr>
          <w:rFonts w:hint="eastAsia" w:ascii="仿宋_GB2312" w:hAnsi="宋体" w:eastAsia="仿宋_GB2312" w:cs="宋体"/>
          <w:kern w:val="0"/>
          <w:sz w:val="32"/>
          <w:szCs w:val="32"/>
          <w:lang w:val="en-US" w:eastAsia="zh-CN"/>
        </w:rPr>
        <w:t>0.37万元</w:t>
      </w:r>
      <w:r>
        <w:rPr>
          <w:rFonts w:hint="eastAsia" w:ascii="仿宋_GB2312" w:hAnsi="宋体" w:eastAsia="仿宋_GB2312" w:cs="宋体"/>
          <w:kern w:val="0"/>
          <w:sz w:val="32"/>
          <w:szCs w:val="32"/>
        </w:rPr>
        <w:t>、医疗费、助学金、奖励金、住房公积金</w:t>
      </w:r>
      <w:r>
        <w:rPr>
          <w:rFonts w:hint="eastAsia" w:ascii="仿宋_GB2312" w:hAnsi="宋体" w:eastAsia="仿宋_GB2312" w:cs="宋体"/>
          <w:kern w:val="0"/>
          <w:sz w:val="32"/>
          <w:szCs w:val="32"/>
          <w:lang w:val="en-US" w:eastAsia="zh-CN"/>
        </w:rPr>
        <w:t>6.53万元</w:t>
      </w:r>
      <w:r>
        <w:rPr>
          <w:rFonts w:hint="eastAsia" w:ascii="仿宋_GB2312" w:hAnsi="宋体" w:eastAsia="仿宋_GB2312" w:cs="宋体"/>
          <w:kern w:val="0"/>
          <w:sz w:val="32"/>
          <w:szCs w:val="32"/>
        </w:rPr>
        <w:t>、提租补贴、购房补贴、其他对个人和家庭的补助支出；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15.3</w:t>
      </w:r>
      <w:r>
        <w:rPr>
          <w:rFonts w:hint="eastAsia" w:ascii="仿宋_GB2312" w:hAnsi="宋体" w:eastAsia="仿宋_GB2312" w:cs="宋体"/>
          <w:kern w:val="0"/>
          <w:sz w:val="32"/>
          <w:szCs w:val="32"/>
        </w:rPr>
        <w:t>万元，主要包括：按部门支出经济分类科目分项说明。如，办公费</w:t>
      </w:r>
      <w:r>
        <w:rPr>
          <w:rFonts w:hint="eastAsia" w:ascii="仿宋_GB2312" w:hAnsi="宋体" w:eastAsia="仿宋_GB2312" w:cs="宋体"/>
          <w:kern w:val="0"/>
          <w:sz w:val="32"/>
          <w:szCs w:val="32"/>
          <w:lang w:val="en-US" w:eastAsia="zh-CN"/>
        </w:rPr>
        <w:t>1.3万元</w:t>
      </w:r>
      <w:r>
        <w:rPr>
          <w:rFonts w:hint="eastAsia" w:ascii="仿宋_GB2312" w:hAnsi="宋体" w:eastAsia="仿宋_GB2312" w:cs="宋体"/>
          <w:kern w:val="0"/>
          <w:sz w:val="32"/>
          <w:szCs w:val="32"/>
        </w:rPr>
        <w:t>、印刷费、咨询费、手续费、水费、电费、邮电费</w:t>
      </w:r>
      <w:r>
        <w:rPr>
          <w:rFonts w:hint="eastAsia" w:ascii="仿宋_GB2312" w:hAnsi="宋体" w:eastAsia="仿宋_GB2312" w:cs="宋体"/>
          <w:kern w:val="0"/>
          <w:sz w:val="32"/>
          <w:szCs w:val="32"/>
          <w:lang w:val="en-US" w:eastAsia="zh-CN"/>
        </w:rPr>
        <w:t>0.5万元</w:t>
      </w:r>
      <w:r>
        <w:rPr>
          <w:rFonts w:hint="eastAsia" w:ascii="仿宋_GB2312" w:hAnsi="宋体" w:eastAsia="仿宋_GB2312" w:cs="宋体"/>
          <w:kern w:val="0"/>
          <w:sz w:val="32"/>
          <w:szCs w:val="32"/>
        </w:rPr>
        <w:t>、取暖费、物业管理费、差旅费、因公出国（境）费、维修（护）费</w:t>
      </w:r>
      <w:r>
        <w:rPr>
          <w:rFonts w:hint="eastAsia" w:ascii="仿宋_GB2312" w:hAnsi="宋体" w:eastAsia="仿宋_GB2312" w:cs="宋体"/>
          <w:kern w:val="0"/>
          <w:sz w:val="32"/>
          <w:szCs w:val="32"/>
          <w:lang w:val="en-US" w:eastAsia="zh-CN"/>
        </w:rPr>
        <w:t>0.4万元</w:t>
      </w:r>
      <w:r>
        <w:rPr>
          <w:rFonts w:hint="eastAsia" w:ascii="仿宋_GB2312" w:hAnsi="宋体" w:eastAsia="仿宋_GB2312" w:cs="宋体"/>
          <w:kern w:val="0"/>
          <w:sz w:val="32"/>
          <w:szCs w:val="32"/>
        </w:rPr>
        <w:t>、租赁费、会议费、培训费、公务接待费、专用材料费、劳务费</w:t>
      </w:r>
      <w:r>
        <w:rPr>
          <w:rFonts w:hint="eastAsia" w:ascii="仿宋_GB2312" w:hAnsi="宋体" w:eastAsia="仿宋_GB2312" w:cs="宋体"/>
          <w:kern w:val="0"/>
          <w:sz w:val="32"/>
          <w:szCs w:val="32"/>
          <w:lang w:val="en-US" w:eastAsia="zh-CN"/>
        </w:rPr>
        <w:t>7.2万元</w:t>
      </w:r>
      <w:r>
        <w:rPr>
          <w:rFonts w:hint="eastAsia" w:ascii="仿宋_GB2312" w:hAnsi="宋体" w:eastAsia="仿宋_GB2312" w:cs="宋体"/>
          <w:kern w:val="0"/>
          <w:sz w:val="32"/>
          <w:szCs w:val="32"/>
        </w:rPr>
        <w:t>、委托业务费、工会经费</w:t>
      </w:r>
      <w:r>
        <w:rPr>
          <w:rFonts w:hint="eastAsia" w:ascii="仿宋_GB2312" w:hAnsi="宋体" w:eastAsia="仿宋_GB2312" w:cs="宋体"/>
          <w:kern w:val="0"/>
          <w:sz w:val="32"/>
          <w:szCs w:val="32"/>
          <w:lang w:val="en-US" w:eastAsia="zh-CN"/>
        </w:rPr>
        <w:t>0.96万元</w:t>
      </w:r>
      <w:r>
        <w:rPr>
          <w:rFonts w:hint="eastAsia" w:ascii="仿宋_GB2312" w:hAnsi="宋体" w:eastAsia="仿宋_GB2312" w:cs="宋体"/>
          <w:kern w:val="0"/>
          <w:sz w:val="32"/>
          <w:szCs w:val="32"/>
        </w:rPr>
        <w:t>、福利费、公务用车运行维护费、其他交通费</w:t>
      </w:r>
      <w:r>
        <w:rPr>
          <w:rFonts w:hint="eastAsia" w:ascii="仿宋_GB2312" w:hAnsi="宋体" w:eastAsia="仿宋_GB2312" w:cs="宋体"/>
          <w:kern w:val="0"/>
          <w:sz w:val="32"/>
          <w:szCs w:val="32"/>
          <w:lang w:val="en-US" w:eastAsia="zh-CN"/>
        </w:rPr>
        <w:t>3.46万元</w:t>
      </w:r>
      <w:r>
        <w:rPr>
          <w:rFonts w:hint="eastAsia" w:ascii="仿宋_GB2312" w:hAnsi="宋体" w:eastAsia="仿宋_GB2312" w:cs="宋体"/>
          <w:kern w:val="0"/>
          <w:sz w:val="32"/>
          <w:szCs w:val="32"/>
        </w:rPr>
        <w:t>、其他商品和服务支出</w:t>
      </w:r>
      <w:r>
        <w:rPr>
          <w:rFonts w:hint="eastAsia" w:ascii="仿宋_GB2312" w:hAnsi="宋体" w:eastAsia="仿宋_GB2312" w:cs="宋体"/>
          <w:kern w:val="0"/>
          <w:sz w:val="32"/>
          <w:szCs w:val="32"/>
          <w:lang w:val="en-US" w:eastAsia="zh-CN"/>
        </w:rPr>
        <w:t>1.48万元</w:t>
      </w:r>
      <w:r>
        <w:rPr>
          <w:rFonts w:hint="eastAsia" w:ascii="仿宋_GB2312" w:hAnsi="宋体" w:eastAsia="仿宋_GB2312" w:cs="宋体"/>
          <w:kern w:val="0"/>
          <w:sz w:val="32"/>
          <w:szCs w:val="32"/>
        </w:rPr>
        <w:t>、办公设备购置、专用设备购置。</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金凤区信访</w:t>
      </w:r>
      <w:r>
        <w:rPr>
          <w:rFonts w:hint="eastAsia" w:ascii="仿宋_GB2312" w:hAnsi="宋体" w:eastAsia="仿宋_GB2312" w:cs="宋体"/>
          <w:kern w:val="0"/>
          <w:sz w:val="32"/>
          <w:szCs w:val="32"/>
        </w:rPr>
        <w:t>2021年一般公共预算财政拨款项目支出</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 xml:space="preserve">    万元，其中：本年收入安排支出  </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 xml:space="preserve"> 万元，上年结转结余资金安排支出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万元。包括：</w:t>
      </w:r>
      <w:r>
        <w:rPr>
          <w:rFonts w:hint="eastAsia" w:ascii="仿宋" w:hAnsi="仿宋" w:eastAsia="仿宋"/>
          <w:color w:val="000000"/>
          <w:sz w:val="32"/>
          <w:szCs w:val="32"/>
        </w:rPr>
        <w:t>一般</w:t>
      </w:r>
      <w:r>
        <w:rPr>
          <w:rFonts w:hint="eastAsia" w:ascii="仿宋" w:hAnsi="仿宋" w:eastAsia="仿宋"/>
          <w:color w:val="000000"/>
          <w:sz w:val="32"/>
          <w:szCs w:val="32"/>
          <w:lang w:val="en-US" w:eastAsia="zh-CN"/>
        </w:rPr>
        <w:t>信访</w:t>
      </w:r>
      <w:r>
        <w:rPr>
          <w:rFonts w:hint="eastAsia" w:ascii="仿宋" w:hAnsi="仿宋" w:eastAsia="仿宋"/>
          <w:color w:val="000000"/>
          <w:sz w:val="32"/>
          <w:szCs w:val="32"/>
        </w:rPr>
        <w:t>事务（</w:t>
      </w:r>
      <w:r>
        <w:rPr>
          <w:rFonts w:hint="eastAsia" w:ascii="仿宋" w:hAnsi="仿宋" w:eastAsia="仿宋"/>
          <w:color w:val="000000"/>
          <w:sz w:val="32"/>
          <w:szCs w:val="32"/>
          <w:lang w:val="en-US" w:eastAsia="zh-CN"/>
        </w:rPr>
        <w:t>信访</w:t>
      </w:r>
      <w:r>
        <w:rPr>
          <w:rFonts w:hint="eastAsia" w:ascii="仿宋" w:hAnsi="仿宋" w:eastAsia="仿宋"/>
          <w:color w:val="000000"/>
          <w:sz w:val="32"/>
          <w:szCs w:val="32"/>
        </w:rPr>
        <w:t>事务）</w:t>
      </w:r>
      <w:r>
        <w:rPr>
          <w:rFonts w:hint="eastAsia" w:ascii="仿宋" w:hAnsi="仿宋" w:eastAsia="仿宋"/>
          <w:sz w:val="32"/>
          <w:lang w:val="en-US" w:eastAsia="zh-CN"/>
        </w:rPr>
        <w:t>10</w:t>
      </w:r>
      <w:r>
        <w:rPr>
          <w:rFonts w:hint="eastAsia" w:ascii="仿宋" w:hAnsi="仿宋" w:eastAsia="仿宋"/>
          <w:sz w:val="32"/>
          <w:lang w:val="zh-CN"/>
        </w:rPr>
        <w:t>万</w:t>
      </w:r>
      <w:r>
        <w:rPr>
          <w:rFonts w:hint="eastAsia" w:ascii="仿宋" w:hAnsi="仿宋" w:eastAsia="仿宋"/>
          <w:sz w:val="32"/>
          <w:lang w:val="en-US" w:eastAsia="zh-CN"/>
        </w:rPr>
        <w:t>元</w:t>
      </w:r>
      <w:r>
        <w:rPr>
          <w:rFonts w:hint="eastAsia" w:ascii="仿宋" w:hAnsi="仿宋" w:eastAsia="仿宋"/>
          <w:sz w:val="32"/>
          <w:lang w:val="zh-CN"/>
        </w:rPr>
        <w:t>用于解决特殊疑难信访问题、</w:t>
      </w:r>
      <w:r>
        <w:rPr>
          <w:rFonts w:hint="eastAsia" w:ascii="仿宋" w:hAnsi="仿宋" w:eastAsia="仿宋"/>
          <w:sz w:val="32"/>
          <w:lang w:val="en-US" w:eastAsia="zh-CN"/>
        </w:rPr>
        <w:t>10</w:t>
      </w:r>
      <w:r>
        <w:rPr>
          <w:rFonts w:hint="eastAsia" w:ascii="仿宋" w:hAnsi="仿宋" w:eastAsia="仿宋"/>
          <w:sz w:val="32"/>
          <w:lang w:val="zh-CN"/>
        </w:rPr>
        <w:t>万</w:t>
      </w:r>
      <w:r>
        <w:rPr>
          <w:rFonts w:hint="eastAsia" w:ascii="仿宋" w:hAnsi="仿宋" w:eastAsia="仿宋"/>
          <w:sz w:val="32"/>
          <w:lang w:val="en-US" w:eastAsia="zh-CN"/>
        </w:rPr>
        <w:t>元</w:t>
      </w:r>
      <w:r>
        <w:rPr>
          <w:rFonts w:hint="eastAsia" w:ascii="仿宋" w:hAnsi="仿宋" w:eastAsia="仿宋"/>
          <w:sz w:val="32"/>
          <w:lang w:val="zh-CN"/>
        </w:rPr>
        <w:t>用于驻京劝返工作</w:t>
      </w:r>
      <w:r>
        <w:rPr>
          <w:rFonts w:hint="eastAsia" w:ascii="仿宋_GB2312" w:hAnsi="宋体" w:eastAsia="仿宋_GB2312" w:cs="宋体"/>
          <w:kern w:val="0"/>
          <w:sz w:val="32"/>
          <w:szCs w:val="32"/>
          <w:lang w:val="en-US" w:eastAsia="zh-CN"/>
        </w:rPr>
        <w:t xml:space="preserve"> </w:t>
      </w:r>
      <w:r>
        <w:rPr>
          <w:rFonts w:hint="eastAsia" w:ascii="仿宋_GB2312" w:eastAsia="仿宋_GB2312"/>
          <w:kern w:val="0"/>
          <w:sz w:val="32"/>
          <w:szCs w:val="32"/>
        </w:rPr>
        <w:t>，</w:t>
      </w:r>
      <w:r>
        <w:rPr>
          <w:rFonts w:hint="eastAsia" w:ascii="仿宋_GB2312" w:hAnsi="宋体" w:eastAsia="仿宋_GB2312" w:cs="宋体"/>
          <w:kern w:val="0"/>
          <w:sz w:val="32"/>
          <w:szCs w:val="32"/>
        </w:rPr>
        <w:t>比上年执行数（决算数）减少</w:t>
      </w:r>
      <w:r>
        <w:rPr>
          <w:rFonts w:hint="eastAsia" w:ascii="仿宋_GB2312" w:hAnsi="宋体" w:eastAsia="仿宋_GB2312" w:cs="宋体"/>
          <w:kern w:val="0"/>
          <w:sz w:val="32"/>
          <w:szCs w:val="32"/>
          <w:lang w:val="en-US" w:eastAsia="zh-CN"/>
        </w:rPr>
        <w:t>5.8</w:t>
      </w:r>
      <w:r>
        <w:rPr>
          <w:rFonts w:hint="eastAsia" w:ascii="仿宋_GB2312" w:hAnsi="宋体" w:eastAsia="仿宋_GB2312" w:cs="宋体"/>
          <w:kern w:val="0"/>
          <w:sz w:val="32"/>
          <w:szCs w:val="32"/>
        </w:rPr>
        <w:t xml:space="preserve"> 万元，下降</w:t>
      </w:r>
      <w:r>
        <w:rPr>
          <w:rFonts w:hint="eastAsia" w:ascii="仿宋_GB2312" w:hAnsi="宋体" w:eastAsia="仿宋_GB2312" w:cs="宋体"/>
          <w:kern w:val="0"/>
          <w:sz w:val="32"/>
          <w:szCs w:val="32"/>
          <w:lang w:val="en-US" w:eastAsia="zh-CN"/>
        </w:rPr>
        <w:t>22.48</w:t>
      </w:r>
      <w:r>
        <w:rPr>
          <w:rFonts w:hint="eastAsia" w:ascii="仿宋_GB2312" w:hAnsi="宋体" w:eastAsia="仿宋_GB2312" w:cs="宋体"/>
          <w:kern w:val="0"/>
          <w:sz w:val="32"/>
          <w:szCs w:val="32"/>
        </w:rPr>
        <w:t xml:space="preserve">  %。主要</w:t>
      </w:r>
      <w:r>
        <w:rPr>
          <w:rFonts w:hint="eastAsia" w:ascii="仿宋_GB2312" w:hAnsi="宋体" w:eastAsia="仿宋_GB2312" w:cs="宋体"/>
          <w:kern w:val="0"/>
          <w:sz w:val="32"/>
          <w:szCs w:val="32"/>
          <w:lang w:val="en-US" w:eastAsia="zh-CN"/>
        </w:rPr>
        <w:t>是减少了信访宣传等</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必须按功能分类项级科目逐项说明。</w:t>
      </w:r>
    </w:p>
    <w:p>
      <w:pPr>
        <w:widowControl/>
        <w:numPr>
          <w:ilvl w:val="0"/>
          <w:numId w:val="0"/>
        </w:numPr>
        <w:spacing w:line="560" w:lineRule="exact"/>
        <w:ind w:firstLine="643" w:firstLineChars="200"/>
        <w:jc w:val="left"/>
        <w:rPr>
          <w:rFonts w:hint="eastAsia" w:ascii="黑体" w:hAnsi="宋体" w:eastAsia="黑体" w:cs="宋体"/>
          <w:b/>
          <w:bCs/>
          <w:kern w:val="0"/>
          <w:sz w:val="32"/>
          <w:szCs w:val="32"/>
        </w:rPr>
      </w:pPr>
      <w:r>
        <w:rPr>
          <w:rFonts w:hint="eastAsia" w:ascii="黑体" w:hAnsi="宋体" w:eastAsia="黑体" w:cs="宋体"/>
          <w:b/>
          <w:bCs/>
          <w:kern w:val="0"/>
          <w:sz w:val="32"/>
          <w:szCs w:val="32"/>
          <w:lang w:val="en-US" w:eastAsia="zh-CN"/>
        </w:rPr>
        <w:t xml:space="preserve">三、 </w:t>
      </w:r>
      <w:r>
        <w:rPr>
          <w:rFonts w:hint="eastAsia" w:ascii="黑体" w:hAnsi="宋体" w:eastAsia="黑体" w:cs="宋体"/>
          <w:b/>
          <w:bCs/>
          <w:kern w:val="0"/>
          <w:sz w:val="32"/>
          <w:szCs w:val="32"/>
        </w:rPr>
        <w:t>关于</w:t>
      </w:r>
      <w:r>
        <w:rPr>
          <w:rFonts w:hint="eastAsia" w:ascii="黑体" w:hAnsi="宋体" w:eastAsia="黑体" w:cs="宋体"/>
          <w:b/>
          <w:bCs/>
          <w:kern w:val="0"/>
          <w:sz w:val="32"/>
          <w:szCs w:val="32"/>
          <w:lang w:val="en-US" w:eastAsia="zh-CN"/>
        </w:rPr>
        <w:t>金凤区信访局</w:t>
      </w:r>
      <w:r>
        <w:rPr>
          <w:rFonts w:hint="eastAsia" w:ascii="黑体" w:hAnsi="宋体" w:eastAsia="黑体" w:cs="宋体"/>
          <w:b/>
          <w:bCs/>
          <w:kern w:val="0"/>
          <w:sz w:val="32"/>
          <w:szCs w:val="32"/>
        </w:rPr>
        <w:t>2021年一般公共预算财政拨款“三公”经费预算情况说明</w:t>
      </w:r>
    </w:p>
    <w:p>
      <w:pPr>
        <w:widowControl/>
        <w:numPr>
          <w:ilvl w:val="0"/>
          <w:numId w:val="0"/>
        </w:numPr>
        <w:spacing w:line="560" w:lineRule="exact"/>
        <w:ind w:firstLine="320" w:firstLineChars="1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2021年本单位无“三公”经费预算。</w:t>
      </w:r>
    </w:p>
    <w:p>
      <w:pPr>
        <w:widowControl/>
        <w:numPr>
          <w:ilvl w:val="0"/>
          <w:numId w:val="0"/>
        </w:numPr>
        <w:spacing w:line="560" w:lineRule="exact"/>
        <w:ind w:firstLine="320" w:firstLineChars="1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金凤区信访局</w:t>
      </w:r>
      <w:r>
        <w:rPr>
          <w:rFonts w:hint="eastAsia" w:ascii="仿宋_GB2312" w:hAnsi="宋体" w:eastAsia="仿宋_GB2312" w:cs="宋体"/>
          <w:kern w:val="0"/>
          <w:sz w:val="32"/>
          <w:szCs w:val="32"/>
        </w:rPr>
        <w:t>2021年“三公”经费财政拨款预算数为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万元，公务用车运行费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numPr>
          <w:ilvl w:val="0"/>
          <w:numId w:val="0"/>
        </w:numPr>
        <w:spacing w:line="560" w:lineRule="exact"/>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p>
    <w:p>
      <w:pPr>
        <w:widowControl/>
        <w:numPr>
          <w:ilvl w:val="0"/>
          <w:numId w:val="0"/>
        </w:numPr>
        <w:spacing w:line="560" w:lineRule="exact"/>
        <w:jc w:val="left"/>
        <w:rPr>
          <w:rFonts w:hint="eastAsia" w:ascii="仿宋_GB2312" w:hAnsi="宋体" w:eastAsia="仿宋_GB2312" w:cs="宋体"/>
          <w:kern w:val="0"/>
          <w:sz w:val="32"/>
          <w:szCs w:val="32"/>
        </w:rPr>
      </w:pPr>
    </w:p>
    <w:p>
      <w:pPr>
        <w:widowControl/>
        <w:spacing w:line="560" w:lineRule="exact"/>
        <w:ind w:firstLine="640" w:firstLineChars="200"/>
        <w:jc w:val="left"/>
        <w:rPr>
          <w:rFonts w:hint="eastAsia" w:ascii="仿宋" w:hAnsi="仿宋" w:eastAsia="仿宋_GB2312" w:cs="宋体"/>
          <w:kern w:val="0"/>
          <w:sz w:val="32"/>
          <w:szCs w:val="32"/>
          <w:lang w:val="en-US" w:eastAsia="zh-CN"/>
        </w:rPr>
      </w:pP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年“三公”经费财政拨款预算与</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年相同，都为</w:t>
      </w:r>
      <w:r>
        <w:rPr>
          <w:rFonts w:ascii="仿宋" w:hAnsi="仿宋" w:eastAsia="仿宋" w:cs="宋体"/>
          <w:kern w:val="0"/>
          <w:sz w:val="32"/>
          <w:szCs w:val="32"/>
        </w:rPr>
        <w:t>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_GB2312" w:hAnsi="宋体" w:eastAsia="仿宋_GB2312" w:cs="宋体"/>
          <w:kern w:val="0"/>
          <w:sz w:val="32"/>
          <w:szCs w:val="32"/>
        </w:rPr>
        <w:t>2021年“三公”经费财政拨款预算比2020年增加（减少）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万元，其中：因公出国（境）费增加（减少）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 w:hAnsi="仿宋" w:eastAsia="仿宋" w:cs="宋体"/>
          <w:kern w:val="0"/>
          <w:sz w:val="32"/>
          <w:szCs w:val="32"/>
        </w:rPr>
        <w:t>是因为</w:t>
      </w:r>
      <w:r>
        <w:rPr>
          <w:rFonts w:hint="eastAsia" w:ascii="仿宋" w:hAnsi="仿宋" w:eastAsia="仿宋" w:cs="宋体"/>
          <w:kern w:val="0"/>
          <w:sz w:val="32"/>
          <w:szCs w:val="32"/>
          <w:lang w:val="en-US" w:eastAsia="zh-CN"/>
        </w:rPr>
        <w:t>信访局</w:t>
      </w:r>
      <w:r>
        <w:rPr>
          <w:rFonts w:hint="eastAsia" w:ascii="仿宋" w:hAnsi="仿宋" w:eastAsia="仿宋" w:cs="宋体"/>
          <w:kern w:val="0"/>
          <w:sz w:val="32"/>
          <w:szCs w:val="32"/>
        </w:rPr>
        <w:t>工作性质特点，因此没有因公出国</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事项，也没有公务接待产生</w:t>
      </w:r>
      <w:r>
        <w:rPr>
          <w:rFonts w:hint="eastAsia" w:ascii="仿宋_GB2312" w:hAnsi="宋体" w:eastAsia="仿宋_GB2312" w:cs="宋体"/>
          <w:kern w:val="0"/>
          <w:sz w:val="32"/>
          <w:szCs w:val="32"/>
        </w:rPr>
        <w:t>；公务用车购置费增加（减少）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 w:hAnsi="仿宋" w:eastAsia="仿宋" w:cs="宋体"/>
          <w:kern w:val="0"/>
          <w:sz w:val="32"/>
          <w:szCs w:val="32"/>
          <w:lang w:val="en-US" w:eastAsia="zh-CN"/>
        </w:rPr>
        <w:t>是信访局</w:t>
      </w:r>
      <w:r>
        <w:rPr>
          <w:rFonts w:hint="eastAsia" w:ascii="仿宋" w:hAnsi="仿宋" w:eastAsia="仿宋" w:cs="宋体"/>
          <w:kern w:val="0"/>
          <w:sz w:val="32"/>
          <w:szCs w:val="32"/>
        </w:rPr>
        <w:t>已参加车改，没有公务车，因此公务用车购置费和运行费均为</w:t>
      </w:r>
      <w:r>
        <w:rPr>
          <w:rFonts w:ascii="仿宋" w:hAnsi="仿宋" w:eastAsia="仿宋" w:cs="宋体"/>
          <w:kern w:val="0"/>
          <w:sz w:val="32"/>
          <w:szCs w:val="32"/>
        </w:rPr>
        <w:t>0</w:t>
      </w:r>
      <w:r>
        <w:rPr>
          <w:rFonts w:hint="eastAsia" w:ascii="仿宋_GB2312" w:hAnsi="宋体" w:eastAsia="仿宋_GB2312" w:cs="宋体"/>
          <w:kern w:val="0"/>
          <w:sz w:val="32"/>
          <w:szCs w:val="32"/>
        </w:rPr>
        <w:t>；公务用车运行费增加（减少）万元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 xml:space="preserve"> </w:t>
      </w:r>
    </w:p>
    <w:p>
      <w:pPr>
        <w:widowControl/>
        <w:numPr>
          <w:ilvl w:val="0"/>
          <w:numId w:val="1"/>
        </w:numPr>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关于</w:t>
      </w:r>
      <w:r>
        <w:rPr>
          <w:rFonts w:hint="eastAsia" w:ascii="黑体" w:hAnsi="宋体" w:eastAsia="黑体" w:cs="宋体"/>
          <w:b/>
          <w:bCs/>
          <w:kern w:val="0"/>
          <w:sz w:val="32"/>
          <w:szCs w:val="32"/>
          <w:lang w:val="en-US" w:eastAsia="zh-CN"/>
        </w:rPr>
        <w:t>金凤区信访局</w:t>
      </w:r>
      <w:r>
        <w:rPr>
          <w:rFonts w:hint="eastAsia" w:ascii="黑体" w:hAnsi="宋体" w:eastAsia="黑体" w:cs="宋体"/>
          <w:b/>
          <w:bCs/>
          <w:kern w:val="0"/>
          <w:sz w:val="32"/>
          <w:szCs w:val="32"/>
        </w:rPr>
        <w:t>2021年政府性基金预算拨款情况说明</w:t>
      </w:r>
    </w:p>
    <w:p>
      <w:pPr>
        <w:widowControl/>
        <w:numPr>
          <w:ilvl w:val="0"/>
          <w:numId w:val="0"/>
        </w:numPr>
        <w:spacing w:line="560" w:lineRule="exact"/>
        <w:ind w:firstLine="643" w:firstLineChars="200"/>
        <w:jc w:val="left"/>
        <w:rPr>
          <w:rFonts w:hint="eastAsia" w:ascii="黑体" w:hAnsi="宋体" w:eastAsia="仿宋" w:cs="宋体"/>
          <w:b/>
          <w:bCs/>
          <w:kern w:val="0"/>
          <w:sz w:val="32"/>
          <w:szCs w:val="32"/>
          <w:lang w:eastAsia="zh-CN"/>
        </w:rPr>
      </w:pPr>
      <w:r>
        <w:rPr>
          <w:rFonts w:hint="eastAsia" w:ascii="仿宋" w:hAnsi="仿宋" w:eastAsia="仿宋" w:cs="宋体"/>
          <w:b/>
          <w:bCs/>
          <w:kern w:val="0"/>
          <w:sz w:val="32"/>
          <w:szCs w:val="32"/>
          <w:lang w:val="en-US" w:eastAsia="zh-CN"/>
        </w:rPr>
        <w:t>金凤区信访局2021年</w:t>
      </w:r>
      <w:r>
        <w:rPr>
          <w:rFonts w:hint="eastAsia" w:ascii="仿宋" w:hAnsi="仿宋" w:eastAsia="仿宋" w:cs="宋体"/>
          <w:b/>
          <w:bCs/>
          <w:kern w:val="0"/>
          <w:sz w:val="32"/>
          <w:szCs w:val="32"/>
        </w:rPr>
        <w:t>无政府性基金预算财政拨款</w:t>
      </w:r>
      <w:r>
        <w:rPr>
          <w:rFonts w:hint="eastAsia" w:ascii="仿宋" w:hAnsi="仿宋" w:eastAsia="仿宋" w:cs="宋体"/>
          <w:b/>
          <w:bCs/>
          <w:kern w:val="0"/>
          <w:sz w:val="32"/>
          <w:szCs w:val="32"/>
          <w:lang w:eastAsia="zh-CN"/>
        </w:rPr>
        <w:t>。</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楷体_GB2312" w:hAnsi="宋体" w:eastAsia="楷体_GB2312" w:cs="宋体"/>
          <w:b/>
          <w:bCs/>
          <w:kern w:val="0"/>
          <w:sz w:val="32"/>
          <w:szCs w:val="32"/>
          <w:lang w:val="en-US" w:eastAsia="zh-CN"/>
        </w:rPr>
        <w:t>金凤区信访局</w:t>
      </w:r>
      <w:r>
        <w:rPr>
          <w:rFonts w:hint="eastAsia" w:ascii="仿宋_GB2312" w:hAnsi="宋体" w:eastAsia="仿宋_GB2312" w:cs="宋体"/>
          <w:kern w:val="0"/>
          <w:sz w:val="32"/>
          <w:szCs w:val="32"/>
        </w:rPr>
        <w:t>2021年无政府性基金预算财政拨款收支。</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有政府性基金预算财政拨款单位：</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金凤区信访局</w:t>
      </w:r>
      <w:r>
        <w:rPr>
          <w:rFonts w:hint="eastAsia" w:ascii="仿宋_GB2312" w:hAnsi="宋体" w:eastAsia="仿宋_GB2312" w:cs="宋体"/>
          <w:kern w:val="0"/>
          <w:sz w:val="32"/>
          <w:szCs w:val="32"/>
        </w:rPr>
        <w:t xml:space="preserve">2021年政府性基金预算财政拨款基本支出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万元，其中：本年收入安排支出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万元，上年结转资金安排支出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万元。比2020年执行数（决算数）增加（减少）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万元，增长（下降）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人员经费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公用经费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主要包括：按部门支出经济分类科目分项说明。如，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lang w:val="en-US" w:eastAsia="zh-CN"/>
        </w:rPr>
        <w:t>金凤区信访局</w:t>
      </w:r>
      <w:r>
        <w:rPr>
          <w:rFonts w:hint="eastAsia" w:ascii="仿宋_GB2312" w:hAnsi="仿宋_GB2312" w:eastAsia="仿宋_GB2312" w:cs="仿宋_GB2312"/>
          <w:sz w:val="32"/>
          <w:szCs w:val="32"/>
        </w:rPr>
        <w:t xml:space="preserve">2021年政府性基金预算财政拨款项目支出 </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万元，其中：本年收入安排支出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万元，上年结转结余资金安排支出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万元。包括：</w:t>
      </w:r>
      <w:r>
        <w:rPr>
          <w:rFonts w:hint="eastAsia" w:ascii="仿宋_GB2312" w:hAnsi="宋体" w:eastAsia="仿宋_GB2312" w:cs="宋体"/>
          <w:kern w:val="0"/>
          <w:sz w:val="32"/>
          <w:szCs w:val="32"/>
        </w:rPr>
        <w:t>按政府收支科目类、款、项，用途分项说明。如，</w:t>
      </w:r>
      <w:r>
        <w:rPr>
          <w:rFonts w:hint="eastAsia" w:ascii="仿宋" w:hAnsi="仿宋" w:eastAsia="仿宋"/>
          <w:color w:val="000000"/>
          <w:sz w:val="32"/>
          <w:szCs w:val="32"/>
        </w:rPr>
        <w:t>一般</w:t>
      </w:r>
      <w:r>
        <w:rPr>
          <w:rFonts w:hint="eastAsia" w:ascii="仿宋" w:hAnsi="仿宋" w:eastAsia="仿宋"/>
          <w:color w:val="000000"/>
          <w:sz w:val="32"/>
          <w:szCs w:val="32"/>
          <w:lang w:val="en-US" w:eastAsia="zh-CN"/>
        </w:rPr>
        <w:t>信访</w:t>
      </w:r>
      <w:r>
        <w:rPr>
          <w:rFonts w:hint="eastAsia" w:ascii="仿宋" w:hAnsi="仿宋" w:eastAsia="仿宋"/>
          <w:color w:val="000000"/>
          <w:sz w:val="32"/>
          <w:szCs w:val="32"/>
        </w:rPr>
        <w:t>事务（</w:t>
      </w:r>
      <w:r>
        <w:rPr>
          <w:rFonts w:hint="eastAsia" w:ascii="仿宋" w:hAnsi="仿宋" w:eastAsia="仿宋"/>
          <w:color w:val="000000"/>
          <w:sz w:val="32"/>
          <w:szCs w:val="32"/>
          <w:lang w:val="en-US" w:eastAsia="zh-CN"/>
        </w:rPr>
        <w:t>信访</w:t>
      </w:r>
      <w:r>
        <w:rPr>
          <w:rFonts w:hint="eastAsia" w:ascii="仿宋" w:hAnsi="仿宋" w:eastAsia="仿宋"/>
          <w:color w:val="000000"/>
          <w:sz w:val="32"/>
          <w:szCs w:val="32"/>
        </w:rPr>
        <w:t>事务）</w:t>
      </w: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2021年预算</w:t>
      </w:r>
      <w:r>
        <w:rPr>
          <w:rFonts w:hint="eastAsia" w:ascii="仿宋_GB2312" w:eastAsia="仿宋_GB2312"/>
          <w:kern w:val="0"/>
          <w:sz w:val="32"/>
          <w:szCs w:val="32"/>
          <w:lang w:val="en-US" w:eastAsia="zh-CN"/>
        </w:rPr>
        <w:t>20</w:t>
      </w:r>
      <w:r>
        <w:rPr>
          <w:rFonts w:hint="eastAsia" w:ascii="仿宋_GB2312" w:eastAsia="仿宋_GB2312"/>
          <w:kern w:val="0"/>
          <w:sz w:val="32"/>
          <w:szCs w:val="32"/>
        </w:rPr>
        <w:t>万元，</w:t>
      </w:r>
      <w:r>
        <w:rPr>
          <w:rFonts w:hint="eastAsia" w:ascii="仿宋_GB2312" w:hAnsi="宋体" w:eastAsia="仿宋_GB2312" w:cs="宋体"/>
          <w:kern w:val="0"/>
          <w:sz w:val="32"/>
          <w:szCs w:val="32"/>
        </w:rPr>
        <w:t>比2020年执行数（决算数）减少</w:t>
      </w:r>
      <w:r>
        <w:rPr>
          <w:rFonts w:hint="eastAsia" w:ascii="仿宋_GB2312" w:hAnsi="宋体" w:eastAsia="仿宋_GB2312" w:cs="宋体"/>
          <w:kern w:val="0"/>
          <w:sz w:val="32"/>
          <w:szCs w:val="32"/>
          <w:lang w:val="en-US" w:eastAsia="zh-CN"/>
        </w:rPr>
        <w:t>5.8</w:t>
      </w:r>
      <w:r>
        <w:rPr>
          <w:rFonts w:hint="eastAsia" w:ascii="仿宋_GB2312" w:hAnsi="宋体" w:eastAsia="仿宋_GB2312" w:cs="宋体"/>
          <w:kern w:val="0"/>
          <w:sz w:val="32"/>
          <w:szCs w:val="32"/>
        </w:rPr>
        <w:t xml:space="preserve"> 万元，下降 </w:t>
      </w:r>
      <w:r>
        <w:rPr>
          <w:rFonts w:hint="eastAsia" w:ascii="仿宋_GB2312" w:hAnsi="宋体" w:eastAsia="仿宋_GB2312" w:cs="宋体"/>
          <w:kern w:val="0"/>
          <w:sz w:val="32"/>
          <w:szCs w:val="32"/>
          <w:lang w:val="en-US" w:eastAsia="zh-CN"/>
        </w:rPr>
        <w:t>22.48</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2021年20万</w:t>
      </w:r>
      <w:r>
        <w:rPr>
          <w:rFonts w:hint="eastAsia" w:ascii="仿宋_GB2312" w:hAnsi="宋体" w:eastAsia="仿宋_GB2312" w:cs="宋体"/>
          <w:kern w:val="0"/>
          <w:sz w:val="32"/>
          <w:szCs w:val="32"/>
        </w:rPr>
        <w:t>主要用于</w:t>
      </w:r>
      <w:r>
        <w:rPr>
          <w:rFonts w:hint="eastAsia" w:ascii="仿宋_GB2312" w:hAnsi="宋体" w:eastAsia="仿宋_GB2312" w:cs="宋体"/>
          <w:kern w:val="0"/>
          <w:sz w:val="32"/>
          <w:szCs w:val="32"/>
          <w:lang w:val="en-US" w:eastAsia="zh-CN"/>
        </w:rPr>
        <w:t>:</w:t>
      </w:r>
      <w:r>
        <w:rPr>
          <w:rFonts w:hint="eastAsia" w:ascii="仿宋" w:hAnsi="仿宋" w:eastAsia="仿宋"/>
          <w:sz w:val="32"/>
          <w:lang w:val="en-US" w:eastAsia="zh-CN"/>
        </w:rPr>
        <w:t>10</w:t>
      </w:r>
      <w:r>
        <w:rPr>
          <w:rFonts w:hint="eastAsia" w:ascii="仿宋" w:hAnsi="仿宋" w:eastAsia="仿宋"/>
          <w:sz w:val="32"/>
          <w:lang w:val="zh-CN"/>
        </w:rPr>
        <w:t>万</w:t>
      </w:r>
      <w:r>
        <w:rPr>
          <w:rFonts w:hint="eastAsia" w:ascii="仿宋" w:hAnsi="仿宋" w:eastAsia="仿宋"/>
          <w:sz w:val="32"/>
          <w:lang w:val="en-US" w:eastAsia="zh-CN"/>
        </w:rPr>
        <w:t>元</w:t>
      </w:r>
      <w:r>
        <w:rPr>
          <w:rFonts w:hint="eastAsia" w:ascii="仿宋" w:hAnsi="仿宋" w:eastAsia="仿宋"/>
          <w:sz w:val="32"/>
          <w:lang w:val="zh-CN"/>
        </w:rPr>
        <w:t>用于解决特殊疑难信访问题、</w:t>
      </w:r>
      <w:r>
        <w:rPr>
          <w:rFonts w:hint="eastAsia" w:ascii="仿宋" w:hAnsi="仿宋" w:eastAsia="仿宋"/>
          <w:sz w:val="32"/>
          <w:lang w:val="en-US" w:eastAsia="zh-CN"/>
        </w:rPr>
        <w:t>10</w:t>
      </w:r>
      <w:r>
        <w:rPr>
          <w:rFonts w:hint="eastAsia" w:ascii="仿宋" w:hAnsi="仿宋" w:eastAsia="仿宋"/>
          <w:sz w:val="32"/>
          <w:lang w:val="zh-CN"/>
        </w:rPr>
        <w:t>万</w:t>
      </w:r>
      <w:r>
        <w:rPr>
          <w:rFonts w:hint="eastAsia" w:ascii="仿宋" w:hAnsi="仿宋" w:eastAsia="仿宋"/>
          <w:sz w:val="32"/>
          <w:lang w:val="en-US" w:eastAsia="zh-CN"/>
        </w:rPr>
        <w:t>元</w:t>
      </w:r>
      <w:r>
        <w:rPr>
          <w:rFonts w:hint="eastAsia" w:ascii="仿宋" w:hAnsi="仿宋" w:eastAsia="仿宋"/>
          <w:sz w:val="32"/>
          <w:lang w:val="zh-CN"/>
        </w:rPr>
        <w:t>用于驻京劝返工作</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val="en-US" w:eastAsia="zh-CN"/>
        </w:rPr>
        <w:t>金凤区信访局</w:t>
      </w:r>
      <w:r>
        <w:rPr>
          <w:rFonts w:hint="eastAsia" w:ascii="黑体" w:hAnsi="宋体" w:eastAsia="黑体" w:cs="宋体"/>
          <w:b/>
          <w:bCs/>
          <w:kern w:val="0"/>
          <w:sz w:val="32"/>
          <w:szCs w:val="32"/>
        </w:rPr>
        <w:t>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金凤区信访局</w:t>
      </w:r>
      <w:r>
        <w:rPr>
          <w:rFonts w:hint="eastAsia" w:ascii="仿宋_GB2312" w:hAnsi="宋体" w:eastAsia="仿宋_GB2312" w:cs="宋体"/>
          <w:kern w:val="0"/>
          <w:sz w:val="32"/>
          <w:szCs w:val="32"/>
        </w:rPr>
        <w:t xml:space="preserve">2021年收入总预算 </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 万元，其中：本年收入</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 万元，上年结转结余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万元；支出总预算</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万元，其中：本年支出 </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 万元，年末结转结余</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本年收入包括：财政拨款预算收入 </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 xml:space="preserve"> %；事业预算收入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%；上级补助预算收入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%；附属单位上缴预算收入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%；经营预算收入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%；债务预算收入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%；非同级财政拨款预算收入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%；投资预算收益</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hint="eastAsia" w:ascii="仿宋_GB2312" w:hAnsi="宋体" w:eastAsia="仿宋_GB2312" w:cs="宋体"/>
          <w:kern w:val="0"/>
          <w:sz w:val="32"/>
          <w:szCs w:val="32"/>
          <w:lang w:val="en-US" w:eastAsia="zh-CN"/>
        </w:rPr>
        <w:t>157</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 xml:space="preserve"> %；事业支出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 xml:space="preserve"> %；经营支出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%；上缴上级支出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%；对附属单位补助支出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%；投资支出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%；债务还本支出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48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val="en-US" w:eastAsia="zh-CN"/>
        </w:rPr>
        <w:t>金凤区信访</w:t>
      </w:r>
      <w:r>
        <w:rPr>
          <w:rFonts w:hint="eastAsia" w:ascii="仿宋_GB2312" w:hAnsi="宋体" w:eastAsia="仿宋_GB2312" w:cs="宋体"/>
          <w:kern w:val="0"/>
          <w:sz w:val="32"/>
          <w:szCs w:val="32"/>
        </w:rPr>
        <w:t>本级及所属</w:t>
      </w:r>
      <w:r>
        <w:rPr>
          <w:rFonts w:hint="eastAsia" w:ascii="仿宋" w:hAnsi="仿宋" w:eastAsia="仿宋"/>
          <w:b w:val="0"/>
          <w:bCs/>
          <w:sz w:val="32"/>
          <w:lang w:val="zh-CN"/>
        </w:rPr>
        <w:t>单位名称，</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个行政单位和</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个参公管理事业单位的机关运行经费财政拨款预算     </w:t>
      </w:r>
      <w:r>
        <w:rPr>
          <w:rFonts w:hint="eastAsia" w:ascii="仿宋_GB2312" w:hAnsi="宋体" w:eastAsia="仿宋_GB2312" w:cs="宋体"/>
          <w:kern w:val="0"/>
          <w:sz w:val="32"/>
          <w:szCs w:val="32"/>
          <w:lang w:val="en-US" w:eastAsia="zh-CN"/>
        </w:rPr>
        <w:t>8.09</w:t>
      </w:r>
      <w:r>
        <w:rPr>
          <w:rFonts w:hint="eastAsia" w:ascii="仿宋_GB2312" w:hAnsi="宋体" w:eastAsia="仿宋_GB2312" w:cs="宋体"/>
          <w:kern w:val="0"/>
          <w:sz w:val="32"/>
          <w:szCs w:val="32"/>
        </w:rPr>
        <w:t>万元，比2020年预算</w:t>
      </w:r>
      <w:r>
        <w:rPr>
          <w:rFonts w:hint="eastAsia" w:ascii="仿宋_GB2312" w:hAnsi="宋体" w:eastAsia="仿宋_GB2312" w:cs="宋体"/>
          <w:kern w:val="0"/>
          <w:sz w:val="32"/>
          <w:szCs w:val="32"/>
          <w:lang w:val="en-US" w:eastAsia="zh-CN"/>
        </w:rPr>
        <w:t>减少0.2533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减少3.04</w:t>
      </w:r>
      <w:r>
        <w:rPr>
          <w:rFonts w:hint="eastAsia" w:ascii="仿宋_GB2312" w:hAnsi="宋体" w:eastAsia="仿宋_GB2312" w:cs="宋体"/>
          <w:kern w:val="0"/>
          <w:sz w:val="32"/>
          <w:szCs w:val="32"/>
        </w:rPr>
        <w:t xml:space="preserve"> %。主要原因是：</w:t>
      </w:r>
      <w:r>
        <w:rPr>
          <w:rFonts w:hint="eastAsia" w:ascii="仿宋_GB2312" w:hAnsi="宋体" w:eastAsia="仿宋_GB2312" w:cs="宋体"/>
          <w:kern w:val="0"/>
          <w:sz w:val="32"/>
          <w:szCs w:val="32"/>
          <w:lang w:val="en-US" w:eastAsia="zh-CN"/>
        </w:rPr>
        <w:t xml:space="preserve"> 减少了公车补助</w:t>
      </w:r>
      <w:bookmarkStart w:id="0" w:name="_GoBack"/>
      <w:bookmarkEnd w:id="0"/>
      <w:r>
        <w:rPr>
          <w:rFonts w:hint="eastAsia" w:ascii="仿宋_GB2312" w:hAnsi="宋体" w:eastAsia="仿宋_GB2312" w:cs="宋体"/>
          <w:kern w:val="0"/>
          <w:sz w:val="32"/>
          <w:szCs w:val="32"/>
          <w:lang w:val="en-US" w:eastAsia="zh-CN"/>
        </w:rPr>
        <w:t>。</w:t>
      </w:r>
    </w:p>
    <w:p>
      <w:pPr>
        <w:widowControl/>
        <w:numPr>
          <w:ilvl w:val="0"/>
          <w:numId w:val="2"/>
        </w:numPr>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政府采购情</w:t>
      </w:r>
      <w:r>
        <w:rPr>
          <w:rFonts w:hint="eastAsia" w:ascii="仿宋_GB2312" w:hAnsi="宋体" w:eastAsia="仿宋_GB2312" w:cs="宋体"/>
          <w:kern w:val="0"/>
          <w:sz w:val="32"/>
          <w:szCs w:val="32"/>
          <w:lang w:val="en-US" w:eastAsia="zh-CN"/>
        </w:rPr>
        <w:t>况</w:t>
      </w:r>
    </w:p>
    <w:p>
      <w:pPr>
        <w:widowControl/>
        <w:numPr>
          <w:ilvl w:val="0"/>
          <w:numId w:val="0"/>
        </w:numPr>
        <w:spacing w:line="560" w:lineRule="exact"/>
        <w:ind w:firstLine="640" w:firstLineChars="200"/>
        <w:jc w:val="left"/>
        <w:rPr>
          <w:rFonts w:ascii="仿宋_GB2312" w:hAnsi="宋体" w:eastAsia="仿宋_GB2312" w:cs="宋体"/>
          <w:kern w:val="0"/>
          <w:sz w:val="32"/>
          <w:szCs w:val="32"/>
        </w:rPr>
      </w:pPr>
      <w:r>
        <w:rPr>
          <w:rFonts w:hint="eastAsia" w:ascii="仿宋" w:hAnsi="仿宋" w:eastAsia="仿宋" w:cs="宋体"/>
          <w:kern w:val="0"/>
          <w:sz w:val="32"/>
          <w:szCs w:val="32"/>
          <w:lang w:val="en-US" w:eastAsia="zh-CN"/>
        </w:rPr>
        <w:t xml:space="preserve">2021年本单位无政府采购 </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val="en-US" w:eastAsia="zh-CN"/>
        </w:rPr>
        <w:t>金凤区信访局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万元，其中：政府采购货物预算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万元，政府采购工程预算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截至2021年12月31日， </w:t>
      </w:r>
      <w:r>
        <w:rPr>
          <w:rFonts w:hint="default" w:ascii="仿宋" w:hAnsi="仿宋" w:eastAsia="仿宋" w:cs="宋体"/>
          <w:kern w:val="0"/>
          <w:sz w:val="32"/>
          <w:szCs w:val="32"/>
          <w:lang w:val="en-US" w:eastAsia="zh-CN"/>
        </w:rPr>
        <w:t>我单位资产总额</w:t>
      </w:r>
      <w:r>
        <w:rPr>
          <w:rFonts w:hint="eastAsia" w:ascii="仿宋" w:hAnsi="仿宋" w:eastAsia="仿宋" w:cs="宋体"/>
          <w:kern w:val="0"/>
          <w:sz w:val="32"/>
          <w:szCs w:val="32"/>
          <w:lang w:val="en-US" w:eastAsia="zh-CN"/>
        </w:rPr>
        <w:t>354835</w:t>
      </w:r>
      <w:r>
        <w:rPr>
          <w:rFonts w:hint="default" w:ascii="仿宋" w:hAnsi="仿宋" w:eastAsia="仿宋" w:cs="宋体"/>
          <w:kern w:val="0"/>
          <w:sz w:val="32"/>
          <w:szCs w:val="32"/>
          <w:lang w:val="en-US" w:eastAsia="zh-CN"/>
        </w:rPr>
        <w:t>元。</w:t>
      </w:r>
    </w:p>
    <w:p>
      <w:pPr>
        <w:widowControl/>
        <w:spacing w:line="560" w:lineRule="exact"/>
        <w:ind w:firstLine="480"/>
        <w:jc w:val="left"/>
        <w:rPr>
          <w:rFonts w:hint="default" w:ascii="仿宋_GB2312" w:hAnsi="宋体" w:eastAsia="仿宋_GB2312" w:cs="宋体"/>
          <w:kern w:val="0"/>
          <w:sz w:val="32"/>
          <w:szCs w:val="32"/>
          <w:lang w:val="en-US"/>
        </w:rPr>
      </w:pPr>
      <w:r>
        <w:rPr>
          <w:rFonts w:hint="default" w:ascii="仿宋" w:hAnsi="仿宋" w:eastAsia="仿宋" w:cs="宋体"/>
          <w:kern w:val="0"/>
          <w:sz w:val="32"/>
          <w:szCs w:val="32"/>
          <w:lang w:val="en-US" w:eastAsia="zh-CN"/>
        </w:rPr>
        <w:t>其中：通用设备</w:t>
      </w:r>
      <w:r>
        <w:rPr>
          <w:rFonts w:hint="eastAsia" w:ascii="仿宋" w:hAnsi="仿宋" w:eastAsia="仿宋" w:cs="宋体"/>
          <w:kern w:val="0"/>
          <w:sz w:val="32"/>
          <w:szCs w:val="32"/>
          <w:lang w:val="en-US" w:eastAsia="zh-CN"/>
        </w:rPr>
        <w:t>237566</w:t>
      </w:r>
      <w:r>
        <w:rPr>
          <w:rFonts w:hint="default" w:ascii="仿宋" w:hAnsi="仿宋" w:eastAsia="仿宋" w:cs="宋体"/>
          <w:kern w:val="0"/>
          <w:sz w:val="32"/>
          <w:szCs w:val="32"/>
          <w:lang w:val="en-US" w:eastAsia="zh-CN"/>
        </w:rPr>
        <w:t>元，家具用具</w:t>
      </w:r>
      <w:r>
        <w:rPr>
          <w:rFonts w:hint="eastAsia" w:ascii="仿宋" w:hAnsi="仿宋" w:eastAsia="仿宋" w:cs="宋体"/>
          <w:kern w:val="0"/>
          <w:sz w:val="32"/>
          <w:szCs w:val="32"/>
          <w:lang w:val="en-US" w:eastAsia="zh-CN"/>
        </w:rPr>
        <w:t>32320</w:t>
      </w:r>
      <w:r>
        <w:rPr>
          <w:rFonts w:hint="default" w:ascii="仿宋" w:hAnsi="仿宋" w:eastAsia="仿宋" w:cs="宋体"/>
          <w:kern w:val="0"/>
          <w:sz w:val="32"/>
          <w:szCs w:val="32"/>
          <w:lang w:val="en-US" w:eastAsia="zh-CN"/>
        </w:rPr>
        <w:t>元，专用设备</w:t>
      </w:r>
      <w:r>
        <w:rPr>
          <w:rFonts w:hint="eastAsia" w:ascii="仿宋" w:hAnsi="仿宋" w:eastAsia="仿宋" w:cs="宋体"/>
          <w:kern w:val="0"/>
          <w:sz w:val="32"/>
          <w:szCs w:val="32"/>
          <w:lang w:val="en-US" w:eastAsia="zh-CN"/>
        </w:rPr>
        <w:t>84949</w:t>
      </w:r>
      <w:r>
        <w:rPr>
          <w:rFonts w:hint="default" w:ascii="仿宋" w:hAnsi="仿宋" w:eastAsia="仿宋" w:cs="宋体"/>
          <w:kern w:val="0"/>
          <w:sz w:val="32"/>
          <w:szCs w:val="32"/>
          <w:lang w:val="en-US" w:eastAsia="zh-CN"/>
        </w:rPr>
        <w:t>元。</w:t>
      </w:r>
      <w:r>
        <w:rPr>
          <w:rFonts w:hint="eastAsia" w:ascii="仿宋" w:hAnsi="仿宋" w:eastAsia="仿宋" w:cs="宋体"/>
          <w:kern w:val="0"/>
          <w:sz w:val="32"/>
          <w:szCs w:val="32"/>
          <w:lang w:val="en-US" w:eastAsia="zh-CN"/>
        </w:rPr>
        <w:t>没有车辆。房屋办公面积280平米。</w:t>
      </w:r>
      <w:r>
        <w:rPr>
          <w:rFonts w:hint="eastAsia" w:ascii="仿宋_GB2312" w:hAnsi="宋体" w:eastAsia="仿宋_GB2312" w:cs="宋体"/>
          <w:kern w:val="0"/>
          <w:sz w:val="32"/>
          <w:szCs w:val="32"/>
          <w:lang w:val="en-US" w:eastAsia="zh-CN"/>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480"/>
        <w:jc w:val="left"/>
        <w:rPr>
          <w:rFonts w:hint="eastAsia" w:ascii="仿宋" w:hAnsi="仿宋" w:eastAsia="仿宋" w:cs="宋体"/>
          <w:kern w:val="0"/>
          <w:sz w:val="32"/>
          <w:szCs w:val="32"/>
        </w:rPr>
      </w:pP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年金凤区</w:t>
      </w:r>
      <w:r>
        <w:rPr>
          <w:rFonts w:hint="eastAsia" w:ascii="仿宋" w:hAnsi="仿宋" w:eastAsia="仿宋" w:cs="宋体"/>
          <w:kern w:val="0"/>
          <w:sz w:val="32"/>
          <w:szCs w:val="32"/>
          <w:lang w:val="en-US" w:eastAsia="zh-CN"/>
        </w:rPr>
        <w:t>信访</w:t>
      </w:r>
      <w:r>
        <w:rPr>
          <w:rFonts w:hint="eastAsia" w:ascii="仿宋" w:hAnsi="仿宋" w:eastAsia="仿宋" w:cs="宋体"/>
          <w:kern w:val="0"/>
          <w:sz w:val="32"/>
          <w:szCs w:val="32"/>
        </w:rPr>
        <w:t>无重点项目，因此无重点项目绩效评价。</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numPr>
          <w:ilvl w:val="0"/>
          <w:numId w:val="0"/>
        </w:num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2021年</w:t>
      </w:r>
      <w:r>
        <w:rPr>
          <w:rFonts w:hint="eastAsia" w:ascii="仿宋" w:hAnsi="仿宋" w:eastAsia="仿宋" w:cs="宋体"/>
          <w:kern w:val="0"/>
          <w:sz w:val="32"/>
          <w:szCs w:val="32"/>
          <w:lang w:eastAsia="zh-CN"/>
        </w:rPr>
        <w:t>金凤区信访局无需其他说明事项。</w:t>
      </w: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lang w:val="en-US" w:eastAsia="zh-CN"/>
        </w:rPr>
        <w:t>金凤区信访</w:t>
      </w: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67942"/>
    <w:multiLevelType w:val="singleLevel"/>
    <w:tmpl w:val="96667942"/>
    <w:lvl w:ilvl="0" w:tentative="0">
      <w:start w:val="2"/>
      <w:numFmt w:val="chineseCounting"/>
      <w:suff w:val="nothing"/>
      <w:lvlText w:val="（%1）"/>
      <w:lvlJc w:val="left"/>
      <w:rPr>
        <w:rFonts w:hint="eastAsia"/>
      </w:rPr>
    </w:lvl>
  </w:abstractNum>
  <w:abstractNum w:abstractNumId="1">
    <w:nsid w:val="E08DE21A"/>
    <w:multiLevelType w:val="singleLevel"/>
    <w:tmpl w:val="E08DE21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A5F33"/>
    <w:rsid w:val="001A68AF"/>
    <w:rsid w:val="001B3655"/>
    <w:rsid w:val="001C1D11"/>
    <w:rsid w:val="001E2B95"/>
    <w:rsid w:val="0022537E"/>
    <w:rsid w:val="0023640E"/>
    <w:rsid w:val="00295D0F"/>
    <w:rsid w:val="002C4BD6"/>
    <w:rsid w:val="002D19BE"/>
    <w:rsid w:val="002E78B6"/>
    <w:rsid w:val="002F53FA"/>
    <w:rsid w:val="00322E88"/>
    <w:rsid w:val="003379A6"/>
    <w:rsid w:val="00341CFB"/>
    <w:rsid w:val="0035076A"/>
    <w:rsid w:val="00375123"/>
    <w:rsid w:val="003A44E5"/>
    <w:rsid w:val="003B5F79"/>
    <w:rsid w:val="003F169E"/>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97C6A"/>
    <w:rsid w:val="007A2546"/>
    <w:rsid w:val="007E5001"/>
    <w:rsid w:val="00806D8F"/>
    <w:rsid w:val="00821C98"/>
    <w:rsid w:val="008951C4"/>
    <w:rsid w:val="008C415B"/>
    <w:rsid w:val="00926C87"/>
    <w:rsid w:val="00955E13"/>
    <w:rsid w:val="009C5522"/>
    <w:rsid w:val="009F1323"/>
    <w:rsid w:val="00A04D0E"/>
    <w:rsid w:val="00A16743"/>
    <w:rsid w:val="00A24808"/>
    <w:rsid w:val="00A27798"/>
    <w:rsid w:val="00A63BB9"/>
    <w:rsid w:val="00A72DC8"/>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E7FCB"/>
    <w:rsid w:val="00CF4C56"/>
    <w:rsid w:val="00D61F97"/>
    <w:rsid w:val="00D62C7C"/>
    <w:rsid w:val="00D66148"/>
    <w:rsid w:val="00D77DE1"/>
    <w:rsid w:val="00D82D77"/>
    <w:rsid w:val="00D953BC"/>
    <w:rsid w:val="00DA2209"/>
    <w:rsid w:val="00DA2C8F"/>
    <w:rsid w:val="00DB1945"/>
    <w:rsid w:val="00DD5905"/>
    <w:rsid w:val="00DE70AB"/>
    <w:rsid w:val="00E00861"/>
    <w:rsid w:val="00E0407D"/>
    <w:rsid w:val="00E06E2A"/>
    <w:rsid w:val="00E14322"/>
    <w:rsid w:val="00E21502"/>
    <w:rsid w:val="00E82D24"/>
    <w:rsid w:val="00EB04E5"/>
    <w:rsid w:val="00EB3277"/>
    <w:rsid w:val="00ED10DD"/>
    <w:rsid w:val="00F832C0"/>
    <w:rsid w:val="00FB2A8B"/>
    <w:rsid w:val="01E17ABC"/>
    <w:rsid w:val="07C63F37"/>
    <w:rsid w:val="0850551E"/>
    <w:rsid w:val="0AD61691"/>
    <w:rsid w:val="0FE95486"/>
    <w:rsid w:val="16A461BD"/>
    <w:rsid w:val="1A52138E"/>
    <w:rsid w:val="21A966D9"/>
    <w:rsid w:val="232F5039"/>
    <w:rsid w:val="2C4E4562"/>
    <w:rsid w:val="2E423E6F"/>
    <w:rsid w:val="2E62149F"/>
    <w:rsid w:val="37A210BB"/>
    <w:rsid w:val="38B151EE"/>
    <w:rsid w:val="3BC87D7B"/>
    <w:rsid w:val="3D557F2F"/>
    <w:rsid w:val="43F76BA7"/>
    <w:rsid w:val="44532496"/>
    <w:rsid w:val="44E13384"/>
    <w:rsid w:val="45183418"/>
    <w:rsid w:val="4A97122B"/>
    <w:rsid w:val="522C4497"/>
    <w:rsid w:val="54575826"/>
    <w:rsid w:val="58264299"/>
    <w:rsid w:val="588723F2"/>
    <w:rsid w:val="6D502794"/>
    <w:rsid w:val="6D554257"/>
    <w:rsid w:val="72A22D0D"/>
    <w:rsid w:val="78EF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uiPriority w:val="0"/>
  </w:style>
  <w:style w:type="character" w:customStyle="1" w:styleId="10">
    <w:name w:val="页眉 Char"/>
    <w:basedOn w:val="7"/>
    <w:link w:val="4"/>
    <w:qFormat/>
    <w:uiPriority w:val="0"/>
    <w:rPr>
      <w:sz w:val="18"/>
      <w:szCs w:val="18"/>
    </w:rPr>
  </w:style>
  <w:style w:type="character" w:customStyle="1" w:styleId="11">
    <w:name w:val="页脚 Char"/>
    <w:basedOn w:val="7"/>
    <w:link w:val="3"/>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7"/>
    <w:qFormat/>
    <w:uiPriority w:val="0"/>
    <w:rPr>
      <w:rFonts w:hint="eastAsia" w:ascii="宋体" w:hAnsi="宋体" w:eastAsia="宋体"/>
      <w:color w:val="000000"/>
      <w:sz w:val="18"/>
      <w:szCs w:val="18"/>
      <w:u w:val="none"/>
    </w:rPr>
  </w:style>
  <w:style w:type="paragraph" w:customStyle="1" w:styleId="16">
    <w:name w:val="Char1"/>
    <w:basedOn w:val="1"/>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1591</Words>
  <Characters>9072</Characters>
  <Lines>75</Lines>
  <Paragraphs>21</Paragraphs>
  <TotalTime>30</TotalTime>
  <ScaleCrop>false</ScaleCrop>
  <LinksUpToDate>false</LinksUpToDate>
  <CharactersWithSpaces>10642</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向前进</cp:lastModifiedBy>
  <cp:lastPrinted>2021-01-26T07:03:00Z</cp:lastPrinted>
  <dcterms:modified xsi:type="dcterms:W3CDTF">2021-02-08T06:45:05Z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