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7F46">
      <w:pPr>
        <w:spacing w:before="156" w:beforeLines="50" w:after="312" w:afterLines="10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</w:p>
    <w:p w14:paraId="53785E65">
      <w:pPr>
        <w:spacing w:before="156" w:beforeLines="50" w:after="312" w:afterLines="10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</w:p>
    <w:p w14:paraId="6AB75A68">
      <w:pPr>
        <w:spacing w:before="156" w:beforeLines="50" w:after="312" w:afterLines="10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银川市金凤区商贸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流通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十五五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”</w:t>
      </w:r>
    </w:p>
    <w:p w14:paraId="25DA9EBA">
      <w:pPr>
        <w:spacing w:before="156" w:beforeLines="50" w:after="312" w:afterLines="10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发展规划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（2026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2030年）</w:t>
      </w:r>
    </w:p>
    <w:p w14:paraId="0048EEC5">
      <w:pPr>
        <w:spacing w:before="156" w:beforeLines="50" w:after="312" w:afterLines="10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）</w:t>
      </w:r>
    </w:p>
    <w:p w14:paraId="5D005C67">
      <w:pPr>
        <w:ind w:firstLine="640"/>
        <w:rPr>
          <w:color w:val="auto"/>
          <w:highlight w:val="none"/>
        </w:rPr>
      </w:pPr>
    </w:p>
    <w:p w14:paraId="08FC99B1">
      <w:pPr>
        <w:pStyle w:val="10"/>
        <w:ind w:left="640" w:firstLine="480"/>
        <w:rPr>
          <w:color w:val="auto"/>
          <w:highlight w:val="none"/>
        </w:rPr>
      </w:pPr>
    </w:p>
    <w:p w14:paraId="5DA0CF87">
      <w:pPr>
        <w:ind w:firstLine="640"/>
        <w:rPr>
          <w:color w:val="auto"/>
          <w:highlight w:val="none"/>
        </w:rPr>
      </w:pPr>
    </w:p>
    <w:p w14:paraId="7D46470C">
      <w:pPr>
        <w:pStyle w:val="10"/>
        <w:ind w:left="640" w:firstLine="480"/>
        <w:rPr>
          <w:color w:val="auto"/>
          <w:highlight w:val="none"/>
        </w:rPr>
      </w:pPr>
    </w:p>
    <w:p w14:paraId="0C208030">
      <w:pPr>
        <w:ind w:firstLine="640"/>
        <w:rPr>
          <w:color w:val="auto"/>
          <w:highlight w:val="none"/>
        </w:rPr>
      </w:pPr>
    </w:p>
    <w:p w14:paraId="69F2AEEB">
      <w:pPr>
        <w:ind w:firstLine="0" w:firstLineChars="0"/>
        <w:jc w:val="center"/>
        <w:rPr>
          <w:rFonts w:hint="eastAsia" w:ascii="黑体" w:hAnsi="黑体" w:eastAsia="黑体" w:cs="黑体"/>
          <w:color w:val="auto"/>
          <w:highlight w:val="none"/>
        </w:rPr>
      </w:pPr>
    </w:p>
    <w:p w14:paraId="1E2D5C0B">
      <w:pPr>
        <w:ind w:firstLine="0" w:firstLineChars="0"/>
        <w:jc w:val="center"/>
        <w:rPr>
          <w:rFonts w:hint="eastAsia" w:ascii="黑体" w:hAnsi="黑体" w:eastAsia="黑体" w:cs="黑体"/>
          <w:color w:val="auto"/>
          <w:highlight w:val="none"/>
        </w:rPr>
      </w:pPr>
    </w:p>
    <w:p w14:paraId="4D30D056">
      <w:pPr>
        <w:ind w:firstLine="0" w:firstLineChars="0"/>
        <w:jc w:val="both"/>
        <w:rPr>
          <w:rFonts w:hint="eastAsia" w:ascii="黑体" w:hAnsi="黑体" w:eastAsia="黑体" w:cs="黑体"/>
          <w:color w:val="auto"/>
          <w:highlight w:val="none"/>
        </w:rPr>
      </w:pPr>
    </w:p>
    <w:p w14:paraId="6DBC5844">
      <w:pPr>
        <w:ind w:firstLine="0" w:firstLineChars="0"/>
        <w:jc w:val="center"/>
        <w:rPr>
          <w:rFonts w:hint="eastAsia" w:ascii="黑体" w:hAnsi="黑体" w:eastAsia="黑体" w:cs="黑体"/>
          <w:color w:val="auto"/>
          <w:highlight w:val="none"/>
        </w:rPr>
      </w:pPr>
    </w:p>
    <w:p w14:paraId="1A8185D9">
      <w:pPr>
        <w:ind w:firstLine="0" w:firstLineChars="0"/>
        <w:jc w:val="center"/>
        <w:rPr>
          <w:rFonts w:hint="eastAsia" w:ascii="黑体" w:hAnsi="黑体" w:eastAsia="黑体" w:cs="黑体"/>
          <w:color w:val="auto"/>
          <w:highlight w:val="none"/>
        </w:rPr>
      </w:pPr>
    </w:p>
    <w:p w14:paraId="5AA15E3F">
      <w:pPr>
        <w:ind w:firstLine="0" w:firstLineChars="0"/>
        <w:jc w:val="center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金凤区商务和投资促进局</w:t>
      </w:r>
    </w:p>
    <w:p w14:paraId="495331FD">
      <w:pPr>
        <w:ind w:firstLine="0" w:firstLineChars="0"/>
        <w:jc w:val="center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二〇二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highlight w:val="none"/>
        </w:rPr>
        <w:t>年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highlight w:val="none"/>
        </w:rPr>
        <w:t>月</w:t>
      </w:r>
    </w:p>
    <w:p w14:paraId="17B18776">
      <w:pPr>
        <w:ind w:firstLine="640"/>
        <w:rPr>
          <w:rFonts w:cs="Times New Roman"/>
          <w:color w:val="auto"/>
          <w:highlight w:val="none"/>
        </w:rPr>
      </w:pPr>
    </w:p>
    <w:p w14:paraId="10A67776">
      <w:pPr>
        <w:spacing w:line="240" w:lineRule="auto"/>
        <w:ind w:firstLine="0" w:firstLineChars="0"/>
        <w:jc w:val="center"/>
        <w:rPr>
          <w:rFonts w:hint="eastAsia" w:ascii="宋体" w:hAnsi="宋体" w:eastAsia="宋体"/>
          <w:color w:val="auto"/>
          <w:sz w:val="21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7617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highlight w:val="none"/>
        </w:rPr>
      </w:pPr>
    </w:p>
    <w:sdt>
      <w:sdtP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highlight w:val="none"/>
        </w:rPr>
        <w:id w:val="147454959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sdtEndPr>
      <w:sdtContent>
        <w:p w14:paraId="6BDAD137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0" w:firstLineChars="0"/>
            <w:jc w:val="center"/>
            <w:textAlignment w:val="auto"/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32"/>
              <w:highlight w:val="none"/>
            </w:rPr>
          </w:pPr>
          <w:r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32"/>
              <w:highlight w:val="none"/>
              <w:lang w:val="en-US" w:eastAsia="zh-CN"/>
            </w:rPr>
            <w:t xml:space="preserve">序 </w:t>
          </w:r>
          <w:r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32"/>
              <w:highlight w:val="none"/>
            </w:rPr>
            <w:t>言</w:t>
          </w:r>
        </w:p>
        <w:p w14:paraId="62E30C80">
          <w:pPr>
            <w:ind w:firstLine="640"/>
            <w:rPr>
              <w:rFonts w:hint="eastAsia" w:cs="Times New Roman"/>
              <w:color w:val="auto"/>
              <w:highlight w:val="none"/>
              <w:lang w:val="en-US" w:eastAsia="zh-CN"/>
            </w:rPr>
          </w:pPr>
        </w:p>
        <w:p w14:paraId="41A7F6D1">
          <w:pPr>
            <w:ind w:firstLine="640"/>
            <w:rPr>
              <w:rFonts w:hint="eastAsia" w:cs="Times New Roman"/>
              <w:color w:val="auto"/>
              <w:highlight w:val="none"/>
              <w:lang w:val="en-US" w:eastAsia="zh-CN"/>
            </w:rPr>
          </w:pP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>“十五五”时期是银川市建设国家区域消费中心城市、推进现代商贸流通体系试点城市建设的攻坚五年，也是金凤区以消费升级带动高质量发展的重要五年。本规划聚焦商贸流通、消费关键领域和重点任务，为金凤区商贸消费发展提供战略性、前瞻性和可操作性指导。规划范围为金凤区全域，规划期为2026—2030年，远景展望至2035年。</w:t>
          </w:r>
        </w:p>
        <w:p w14:paraId="2250B46B">
          <w:pPr>
            <w:spacing w:line="240" w:lineRule="auto"/>
            <w:ind w:firstLine="0" w:firstLineChars="0"/>
            <w:jc w:val="center"/>
            <w:rPr>
              <w:rFonts w:hint="eastAsia" w:ascii="方正小标宋简体" w:hAnsi="方正小标宋简体" w:eastAsia="方正小标宋简体" w:cs="方正小标宋简体"/>
              <w:color w:val="auto"/>
              <w:sz w:val="36"/>
              <w:szCs w:val="40"/>
              <w:highlight w:val="none"/>
            </w:rPr>
            <w:sectPr>
              <w:footerReference r:id="rId6" w:type="default"/>
              <w:pgSz w:w="11906" w:h="16838"/>
              <w:pgMar w:top="1440" w:right="1800" w:bottom="1440" w:left="1800" w:header="851" w:footer="992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pgNumType w:fmt="numberInDash" w:start="1"/>
              <w:cols w:space="425" w:num="1"/>
              <w:docGrid w:type="lines" w:linePitch="312" w:charSpace="0"/>
            </w:sectPr>
          </w:pPr>
        </w:p>
        <w:p w14:paraId="5D41A92E">
          <w:pPr>
            <w:spacing w:line="240" w:lineRule="auto"/>
            <w:ind w:firstLine="0" w:firstLineChars="0"/>
            <w:jc w:val="center"/>
            <w:rPr>
              <w:color w:val="auto"/>
              <w:sz w:val="28"/>
              <w:szCs w:val="21"/>
              <w:highlight w:val="none"/>
            </w:rPr>
          </w:pPr>
          <w:r>
            <w:rPr>
              <w:rFonts w:hint="eastAsia" w:ascii="方正小标宋简体" w:hAnsi="方正小标宋简体" w:eastAsia="方正小标宋简体" w:cs="方正小标宋简体"/>
              <w:color w:val="auto"/>
              <w:sz w:val="36"/>
              <w:szCs w:val="40"/>
              <w:highlight w:val="none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color w:val="auto"/>
              <w:sz w:val="36"/>
              <w:szCs w:val="40"/>
              <w:highlight w:val="none"/>
              <w:lang w:val="en-US" w:eastAsia="zh-CN"/>
            </w:rPr>
            <w:t xml:space="preserve"> </w:t>
          </w:r>
          <w:r>
            <w:rPr>
              <w:rFonts w:hint="eastAsia" w:ascii="方正小标宋简体" w:hAnsi="方正小标宋简体" w:eastAsia="方正小标宋简体" w:cs="方正小标宋简体"/>
              <w:color w:val="auto"/>
              <w:sz w:val="36"/>
              <w:szCs w:val="40"/>
              <w:highlight w:val="none"/>
            </w:rPr>
            <w:t>录</w:t>
          </w:r>
        </w:p>
        <w:p w14:paraId="448C4540">
          <w:pPr>
            <w:pStyle w:val="16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 w:val="20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 w:val="20"/>
              <w:szCs w:val="15"/>
              <w:highlight w:val="none"/>
            </w:rPr>
            <w:instrText xml:space="preserve">TOC \o "1-3" \h \u </w:instrText>
          </w:r>
          <w:r>
            <w:rPr>
              <w:rFonts w:eastAsia="仿宋_GB2312" w:cs="Times New Roman"/>
              <w:color w:val="auto"/>
              <w:sz w:val="20"/>
              <w:szCs w:val="15"/>
              <w:highlight w:val="none"/>
            </w:rPr>
            <w:fldChar w:fldCharType="separate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_Toc22387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第一章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发展</w:t>
          </w:r>
          <w:r>
            <w:rPr>
              <w:rFonts w:cs="Times New Roman"/>
              <w:color w:val="auto"/>
              <w:highlight w:val="none"/>
            </w:rPr>
            <w:t>基础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_Toc22387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- 2 -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18B9D29A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_Toc3624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</w:t>
          </w:r>
          <w:r>
            <w:rPr>
              <w:rFonts w:hint="eastAsia" w:cs="Times New Roman"/>
              <w:color w:val="auto"/>
              <w:highlight w:val="none"/>
            </w:rPr>
            <w:t>一</w:t>
          </w:r>
          <w:r>
            <w:rPr>
              <w:rFonts w:cs="Times New Roman"/>
              <w:color w:val="auto"/>
              <w:highlight w:val="none"/>
            </w:rPr>
            <w:t>节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cs="Times New Roman"/>
              <w:color w:val="auto"/>
              <w:highlight w:val="none"/>
            </w:rPr>
            <w:t>发展</w:t>
          </w:r>
          <w:r>
            <w:rPr>
              <w:rFonts w:hint="eastAsia" w:cs="Times New Roman"/>
              <w:color w:val="auto"/>
              <w:highlight w:val="none"/>
            </w:rPr>
            <w:t>成效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_Toc3624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- 2 -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3E4CD7CA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_Toc22016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>二</w:t>
          </w:r>
          <w:r>
            <w:rPr>
              <w:rFonts w:cs="Times New Roman"/>
              <w:color w:val="auto"/>
              <w:highlight w:val="none"/>
            </w:rPr>
            <w:t>节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发展机遇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_Toc22016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- 3 -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0B1C38CA">
          <w:pPr>
            <w:pStyle w:val="16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_Toc26877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第二章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eastAsia" w:cs="Times New Roman"/>
              <w:color w:val="auto"/>
              <w:highlight w:val="none"/>
            </w:rPr>
            <w:t>总体思路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>与目标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_Toc26877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- 3 -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32083AD5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_Toc9510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第一节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cs="Times New Roman"/>
              <w:color w:val="auto"/>
              <w:highlight w:val="none"/>
            </w:rPr>
            <w:t>指导思想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_Toc9510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- 3 -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7AB48716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_Toc13116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>二</w:t>
          </w:r>
          <w:r>
            <w:rPr>
              <w:rFonts w:cs="Times New Roman"/>
              <w:color w:val="auto"/>
              <w:highlight w:val="none"/>
            </w:rPr>
            <w:t>节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cs="Times New Roman"/>
              <w:color w:val="auto"/>
              <w:highlight w:val="none"/>
            </w:rPr>
            <w:t>战略导向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_Toc13116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- 4 -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39DB3511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_Toc7032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>三</w:t>
          </w:r>
          <w:r>
            <w:rPr>
              <w:rFonts w:cs="Times New Roman"/>
              <w:color w:val="auto"/>
              <w:highlight w:val="none"/>
            </w:rPr>
            <w:t>节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cs="Times New Roman"/>
              <w:color w:val="auto"/>
              <w:highlight w:val="none"/>
            </w:rPr>
            <w:t>发展目标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_Toc7032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- 4 -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69B153B8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_Toc23739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</w:rPr>
            <w:t>第</w:t>
          </w:r>
          <w:r>
            <w:rPr>
              <w:rFonts w:hint="eastAsia"/>
              <w:color w:val="auto"/>
              <w:highlight w:val="none"/>
              <w:lang w:val="en-US" w:eastAsia="zh-CN"/>
            </w:rPr>
            <w:t>四</w:t>
          </w:r>
          <w:r>
            <w:rPr>
              <w:rFonts w:hint="eastAsia"/>
              <w:color w:val="auto"/>
              <w:highlight w:val="none"/>
            </w:rPr>
            <w:t>节</w:t>
          </w:r>
          <w:r>
            <w:rPr>
              <w:rFonts w:hint="eastAsia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eastAsia"/>
              <w:color w:val="auto"/>
              <w:highlight w:val="none"/>
            </w:rPr>
            <w:t>战略</w:t>
          </w:r>
          <w:r>
            <w:rPr>
              <w:color w:val="auto"/>
              <w:highlight w:val="none"/>
            </w:rPr>
            <w:t>布局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_Toc23739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- 5 -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2DFB04B3">
          <w:pPr>
            <w:pStyle w:val="16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_Toc22203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cs="Times New Roman"/>
              <w:color w:val="auto"/>
              <w:highlight w:val="none"/>
            </w:rPr>
            <w:t>第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>三</w:t>
          </w:r>
          <w:r>
            <w:rPr>
              <w:rFonts w:cs="Times New Roman"/>
              <w:color w:val="auto"/>
              <w:highlight w:val="none"/>
            </w:rPr>
            <w:t>章</w:t>
          </w:r>
          <w:r>
            <w:rPr>
              <w:rFonts w:hint="eastAsia" w:cs="Times New Roman"/>
              <w:color w:val="auto"/>
              <w:highlight w:val="none"/>
              <w:lang w:val="en-US" w:eastAsia="zh-CN"/>
            </w:rPr>
            <w:t xml:space="preserve"> 重点任务与举措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_Toc22203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- 5 -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433F8E48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_Toc27725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>第一节 提质消费供给，构建多层次新消费体系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_Toc27725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- 5 -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02379A87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_Toc10775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>第二节 聚力“三新”消费，激发内生增长活力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_Toc10775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- 7 -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0BF88FF3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_Toc6574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>第三节 做强会展经济，打造区域会展服务平台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_Toc6574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- 10 -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1DE53FDC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_Toc8890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>第四节 加快电商创新发展，拓展消费发展格局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_Toc8890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- 11 -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3CF6929F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_Toc18449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>第五节 培育新兴贸易，深化内外联动开放格局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_Toc18449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- 12 -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7E2C3227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_Toc32455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 w:ascii="Times New Roman" w:hAnsi="Times New Roman" w:eastAsia="黑体" w:cs="Times New Roman"/>
              <w:color w:val="auto"/>
              <w:kern w:val="2"/>
              <w:szCs w:val="22"/>
              <w:highlight w:val="none"/>
              <w:lang w:val="en-US" w:eastAsia="zh-CN" w:bidi="ar-SA"/>
            </w:rPr>
            <w:t>第</w:t>
          </w:r>
          <w:r>
            <w:rPr>
              <w:rFonts w:hint="eastAsia" w:eastAsia="黑体" w:cs="Times New Roman"/>
              <w:color w:val="auto"/>
              <w:kern w:val="2"/>
              <w:szCs w:val="22"/>
              <w:highlight w:val="none"/>
              <w:lang w:val="en-US" w:eastAsia="zh-CN" w:bidi="ar-SA"/>
            </w:rPr>
            <w:t>六</w:t>
          </w:r>
          <w:r>
            <w:rPr>
              <w:rFonts w:hint="eastAsia" w:ascii="Times New Roman" w:hAnsi="Times New Roman" w:eastAsia="黑体" w:cs="Times New Roman"/>
              <w:color w:val="auto"/>
              <w:kern w:val="2"/>
              <w:szCs w:val="22"/>
              <w:highlight w:val="none"/>
              <w:lang w:val="en-US" w:eastAsia="zh-CN" w:bidi="ar-SA"/>
            </w:rPr>
            <w:t>节</w:t>
          </w:r>
          <w:r>
            <w:rPr>
              <w:rFonts w:hint="eastAsia" w:eastAsia="黑体" w:cs="Times New Roman"/>
              <w:color w:val="auto"/>
              <w:kern w:val="2"/>
              <w:szCs w:val="22"/>
              <w:highlight w:val="none"/>
              <w:lang w:val="en-US" w:eastAsia="zh-CN" w:bidi="ar-SA"/>
            </w:rPr>
            <w:t xml:space="preserve"> </w:t>
          </w:r>
          <w:r>
            <w:rPr>
              <w:rFonts w:hint="eastAsia" w:ascii="Times New Roman" w:hAnsi="Times New Roman" w:eastAsia="黑体" w:cs="Times New Roman"/>
              <w:color w:val="auto"/>
              <w:kern w:val="2"/>
              <w:szCs w:val="22"/>
              <w:highlight w:val="none"/>
              <w:lang w:val="en-US" w:eastAsia="zh-CN" w:bidi="ar-SA"/>
            </w:rPr>
            <w:t>优化商业网点布局，构建特色商业体系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_Toc32455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- 13 -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6EE49430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_Toc28131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>第七节 增强产业韧性，构建安全高效流通体系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_Toc28131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- 14 -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3FA191D9">
          <w:pPr>
            <w:pStyle w:val="16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_Toc4229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ascii="Times New Roman" w:hAnsi="Times New Roman" w:eastAsia="方正小标宋简体" w:cs="Times New Roman"/>
              <w:color w:val="auto"/>
              <w:kern w:val="44"/>
              <w:szCs w:val="36"/>
              <w:highlight w:val="none"/>
              <w:lang w:val="en-US" w:eastAsia="zh-CN" w:bidi="ar-SA"/>
            </w:rPr>
            <w:t>第</w:t>
          </w:r>
          <w:r>
            <w:rPr>
              <w:rFonts w:hint="eastAsia" w:eastAsia="方正小标宋简体" w:cs="Times New Roman"/>
              <w:color w:val="auto"/>
              <w:kern w:val="44"/>
              <w:szCs w:val="36"/>
              <w:highlight w:val="none"/>
              <w:lang w:val="en-US" w:eastAsia="zh-CN" w:bidi="ar-SA"/>
            </w:rPr>
            <w:t>四</w:t>
          </w:r>
          <w:r>
            <w:rPr>
              <w:rFonts w:ascii="Times New Roman" w:hAnsi="Times New Roman" w:eastAsia="方正小标宋简体" w:cs="Times New Roman"/>
              <w:color w:val="auto"/>
              <w:kern w:val="44"/>
              <w:szCs w:val="36"/>
              <w:highlight w:val="none"/>
              <w:lang w:val="en-US" w:eastAsia="zh-CN" w:bidi="ar-SA"/>
            </w:rPr>
            <w:t>章</w:t>
          </w:r>
          <w:r>
            <w:rPr>
              <w:rFonts w:hint="eastAsia" w:eastAsia="方正小标宋简体" w:cs="Times New Roman"/>
              <w:color w:val="auto"/>
              <w:kern w:val="44"/>
              <w:szCs w:val="36"/>
              <w:highlight w:val="none"/>
              <w:lang w:val="en-US" w:eastAsia="zh-CN" w:bidi="ar-SA"/>
            </w:rPr>
            <w:t xml:space="preserve"> </w:t>
          </w:r>
          <w:r>
            <w:rPr>
              <w:rFonts w:ascii="Times New Roman" w:hAnsi="Times New Roman" w:eastAsia="方正小标宋简体" w:cs="Times New Roman"/>
              <w:color w:val="auto"/>
              <w:kern w:val="44"/>
              <w:szCs w:val="36"/>
              <w:highlight w:val="none"/>
              <w:lang w:val="en-US" w:eastAsia="zh-CN" w:bidi="ar-SA"/>
            </w:rPr>
            <w:t>规划保障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_Toc4229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- 15 -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10358BB8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_Toc7089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 xml:space="preserve">第一节 </w:t>
          </w:r>
          <w:r>
            <w:rPr>
              <w:color w:val="auto"/>
              <w:highlight w:val="none"/>
            </w:rPr>
            <w:t>强化组织统筹机制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_Toc7089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- 15 -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6D4DB41F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_Toc6177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 xml:space="preserve">第二节 </w:t>
          </w:r>
          <w:r>
            <w:rPr>
              <w:color w:val="auto"/>
              <w:highlight w:val="none"/>
            </w:rPr>
            <w:t>深化精准招商育企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_Toc6177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- 15 -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007B3161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_Toc9061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 xml:space="preserve">第三节 </w:t>
          </w:r>
          <w:r>
            <w:rPr>
              <w:color w:val="auto"/>
              <w:highlight w:val="none"/>
            </w:rPr>
            <w:t>优化双环境发展生态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_Toc9061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- 16 -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2153B073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_Toc12430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 xml:space="preserve">第四节 </w:t>
          </w:r>
          <w:r>
            <w:rPr>
              <w:color w:val="auto"/>
              <w:highlight w:val="none"/>
            </w:rPr>
            <w:t>夯实资源要素支撑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_Toc12430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- 16 -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233452F4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_Toc10795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 xml:space="preserve">第五节 </w:t>
          </w:r>
          <w:r>
            <w:rPr>
              <w:color w:val="auto"/>
              <w:highlight w:val="none"/>
            </w:rPr>
            <w:t>创新行业治理模式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_Toc10795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- 17 -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62C87E72">
          <w:pPr>
            <w:pStyle w:val="18"/>
            <w:tabs>
              <w:tab w:val="right" w:leader="dot" w:pos="8306"/>
            </w:tabs>
            <w:rPr>
              <w:color w:val="auto"/>
              <w:highlight w:val="none"/>
            </w:r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begin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instrText xml:space="preserve"> HYPERLINK \l _Toc4156 </w:instrText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separate"/>
          </w:r>
          <w:r>
            <w:rPr>
              <w:rFonts w:hint="eastAsia"/>
              <w:color w:val="auto"/>
              <w:highlight w:val="none"/>
              <w:lang w:val="en-US" w:eastAsia="zh-CN"/>
            </w:rPr>
            <w:t xml:space="preserve">第六节 </w:t>
          </w:r>
          <w:r>
            <w:rPr>
              <w:color w:val="auto"/>
              <w:highlight w:val="none"/>
            </w:rPr>
            <w:t>健全监测评估</w:t>
          </w:r>
          <w:r>
            <w:rPr>
              <w:rFonts w:hint="eastAsia"/>
              <w:color w:val="auto"/>
              <w:highlight w:val="none"/>
              <w:lang w:val="en-US" w:eastAsia="zh-CN"/>
            </w:rPr>
            <w:t>机制</w:t>
          </w:r>
          <w:r>
            <w:rPr>
              <w:color w:val="auto"/>
              <w:highlight w:val="none"/>
            </w:rPr>
            <w:tab/>
          </w:r>
          <w:r>
            <w:rPr>
              <w:color w:val="auto"/>
              <w:highlight w:val="none"/>
            </w:rPr>
            <w:fldChar w:fldCharType="begin"/>
          </w:r>
          <w:r>
            <w:rPr>
              <w:color w:val="auto"/>
              <w:highlight w:val="none"/>
            </w:rPr>
            <w:instrText xml:space="preserve"> PAGEREF _Toc4156 \h </w:instrText>
          </w:r>
          <w:r>
            <w:rPr>
              <w:color w:val="auto"/>
              <w:highlight w:val="none"/>
            </w:rPr>
            <w:fldChar w:fldCharType="separate"/>
          </w:r>
          <w:r>
            <w:rPr>
              <w:color w:val="auto"/>
              <w:highlight w:val="none"/>
            </w:rPr>
            <w:t>- 18 -</w:t>
          </w:r>
          <w:r>
            <w:rPr>
              <w:color w:val="auto"/>
              <w:highlight w:val="none"/>
            </w:rPr>
            <w:fldChar w:fldCharType="end"/>
          </w: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  <w:p w14:paraId="6FC849E9"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rFonts w:cs="Times New Roman"/>
              <w:color w:val="auto"/>
              <w:highlight w:val="none"/>
            </w:rPr>
            <w:sectPr>
              <w:footerReference r:id="rId7" w:type="default"/>
              <w:pgSz w:w="11906" w:h="16838"/>
              <w:pgMar w:top="1440" w:right="1800" w:bottom="1440" w:left="1800" w:header="851" w:footer="992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pgNumType w:fmt="numberInDash" w:start="1"/>
              <w:cols w:space="425" w:num="1"/>
              <w:docGrid w:type="lines" w:linePitch="312" w:charSpace="0"/>
            </w:sectPr>
          </w:pPr>
          <w:r>
            <w:rPr>
              <w:rFonts w:eastAsia="仿宋_GB2312" w:cs="Times New Roman"/>
              <w:color w:val="auto"/>
              <w:szCs w:val="15"/>
              <w:highlight w:val="none"/>
            </w:rPr>
            <w:fldChar w:fldCharType="end"/>
          </w:r>
        </w:p>
      </w:sdtContent>
    </w:sdt>
    <w:p w14:paraId="6CE6C85D">
      <w:pPr>
        <w:pStyle w:val="2"/>
        <w:spacing w:before="156" w:after="156"/>
        <w:rPr>
          <w:rFonts w:hint="eastAsia" w:eastAsia="方正小标宋简体" w:cs="Times New Roman"/>
          <w:color w:val="auto"/>
          <w:highlight w:val="none"/>
          <w:lang w:eastAsia="zh-CN"/>
        </w:rPr>
      </w:pPr>
      <w:bookmarkStart w:id="0" w:name="_Toc30207"/>
      <w:bookmarkStart w:id="1" w:name="_Toc22387"/>
      <w:r>
        <w:rPr>
          <w:rFonts w:cs="Times New Roman"/>
          <w:color w:val="auto"/>
          <w:highlight w:val="none"/>
        </w:rPr>
        <w:t>第一章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 发展</w:t>
      </w:r>
      <w:r>
        <w:rPr>
          <w:rFonts w:cs="Times New Roman"/>
          <w:color w:val="auto"/>
          <w:highlight w:val="none"/>
        </w:rPr>
        <w:t>基础</w:t>
      </w:r>
      <w:bookmarkEnd w:id="0"/>
      <w:bookmarkEnd w:id="1"/>
    </w:p>
    <w:p w14:paraId="6CA19463">
      <w:pPr>
        <w:pStyle w:val="3"/>
        <w:rPr>
          <w:rFonts w:cs="Times New Roman"/>
          <w:color w:val="auto"/>
          <w:highlight w:val="none"/>
        </w:rPr>
      </w:pPr>
      <w:bookmarkStart w:id="2" w:name="_Toc29936"/>
      <w:bookmarkStart w:id="3" w:name="_Toc6790"/>
      <w:bookmarkStart w:id="4" w:name="_Toc12796"/>
      <w:bookmarkStart w:id="5" w:name="_Toc3624"/>
      <w:bookmarkStart w:id="6" w:name="_Toc2825"/>
      <w:r>
        <w:rPr>
          <w:rFonts w:cs="Times New Roman"/>
          <w:color w:val="auto"/>
          <w:highlight w:val="none"/>
        </w:rPr>
        <w:t>第</w:t>
      </w:r>
      <w:r>
        <w:rPr>
          <w:rFonts w:hint="eastAsia" w:cs="Times New Roman"/>
          <w:color w:val="auto"/>
          <w:highlight w:val="none"/>
        </w:rPr>
        <w:t>一</w:t>
      </w:r>
      <w:r>
        <w:rPr>
          <w:rFonts w:cs="Times New Roman"/>
          <w:color w:val="auto"/>
          <w:highlight w:val="none"/>
        </w:rPr>
        <w:t>节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 </w:t>
      </w:r>
      <w:r>
        <w:rPr>
          <w:rFonts w:cs="Times New Roman"/>
          <w:color w:val="auto"/>
          <w:highlight w:val="none"/>
        </w:rPr>
        <w:t>发展</w:t>
      </w:r>
      <w:bookmarkEnd w:id="2"/>
      <w:bookmarkEnd w:id="3"/>
      <w:r>
        <w:rPr>
          <w:rFonts w:hint="eastAsia" w:cs="Times New Roman"/>
          <w:color w:val="auto"/>
          <w:highlight w:val="none"/>
        </w:rPr>
        <w:t>成效</w:t>
      </w:r>
      <w:bookmarkEnd w:id="4"/>
      <w:bookmarkEnd w:id="5"/>
    </w:p>
    <w:bookmarkEnd w:id="6"/>
    <w:p w14:paraId="70A106D0">
      <w:pPr>
        <w:bidi w:val="0"/>
        <w:rPr>
          <w:rFonts w:hint="eastAsia"/>
          <w:color w:val="auto"/>
          <w:highlight w:val="none"/>
        </w:rPr>
      </w:pPr>
      <w:bookmarkStart w:id="7" w:name="_Toc27217"/>
      <w:bookmarkStart w:id="8" w:name="_Toc11857"/>
      <w:bookmarkStart w:id="9" w:name="_Toc7779"/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十四五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时期，金凤区商贸消费规模持续扩大、产业结构不断优化，为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十五五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高质量发展积蓄了强劲动能。</w:t>
      </w:r>
    </w:p>
    <w:p w14:paraId="39FA2DAB">
      <w:pPr>
        <w:bidi w:val="0"/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商贸规模领跑全市，消费能级全面跃升。</w:t>
      </w:r>
      <w:r>
        <w:rPr>
          <w:rFonts w:hint="eastAsia"/>
          <w:color w:val="auto"/>
          <w:highlight w:val="none"/>
        </w:rPr>
        <w:t>2025年社零总额对全市贡献率稳定在20%左右，三次产业结构优化为0.9:11.4:87.7，经济加速向消费与创新驱动转型。商业载体能级居三区首位，特色街区客流与营收表现亮眼。汽车消费压舱石作用稳固，新能源汽车占比大幅提升。首店经济、网络零售、高端商务楼宇等新业态蓬勃发展，发展新动能持续蓄积。</w:t>
      </w:r>
    </w:p>
    <w:p w14:paraId="548C8A23">
      <w:pPr>
        <w:bidi w:val="0"/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会展演艺破局起势，开放平台赋能增效。</w:t>
      </w:r>
      <w:r>
        <w:rPr>
          <w:rFonts w:hint="eastAsia"/>
          <w:color w:val="auto"/>
          <w:highlight w:val="none"/>
        </w:rPr>
        <w:t>会展演艺经济稳步起步，2025年各类展会、会议及节庆活动带动直接与关联产业产值近80亿元，成为区域经济重要增长极。高标准建成外贸大厦，全区进出口总额突破30亿元。深度对接中阿博览会等国家级平台，会展产业拉动效应持续增强。</w:t>
      </w:r>
    </w:p>
    <w:p w14:paraId="4C7D75BD">
      <w:pPr>
        <w:bidi w:val="0"/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悦享金凤品牌铸强，消费潜能充分释放。</w:t>
      </w:r>
      <w:r>
        <w:rPr>
          <w:rFonts w:hint="eastAsia"/>
          <w:color w:val="auto"/>
          <w:highlight w:val="none"/>
        </w:rPr>
        <w:t>聚力打造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悦享金凤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促消费品牌，通过发放消费券、打造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四季消费节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、构建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1+3+N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以旧换新体系等举措，高效撬动消费增长。出台首店支持政策并优化政务服务，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消费在金凤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品牌影响力持续提升。</w:t>
      </w:r>
    </w:p>
    <w:p w14:paraId="056C84B9">
      <w:pPr>
        <w:bidi w:val="0"/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营商环境持续优化，市场活力不断激发。</w:t>
      </w:r>
      <w:r>
        <w:rPr>
          <w:rFonts w:hint="eastAsia"/>
          <w:color w:val="auto"/>
          <w:highlight w:val="none"/>
        </w:rPr>
        <w:t>获批多个现代商贸流通体系试点，系统谋划消费新场景项目。创新党建引领与商业联盟机制，深化政务改革并落地惠企政策，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十四五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末期累计新增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五上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企业341家，市场主体总量达12万户，发展内生动力持续增强。</w:t>
      </w:r>
    </w:p>
    <w:p w14:paraId="78DE5F17">
      <w:pPr>
        <w:pStyle w:val="3"/>
        <w:rPr>
          <w:rFonts w:hint="default" w:cs="Times New Roman"/>
          <w:color w:val="auto"/>
          <w:highlight w:val="none"/>
          <w:lang w:val="en-US" w:eastAsia="zh-CN"/>
        </w:rPr>
      </w:pPr>
      <w:bookmarkStart w:id="10" w:name="_Toc11494"/>
      <w:bookmarkStart w:id="11" w:name="_Toc22016"/>
      <w:r>
        <w:rPr>
          <w:rFonts w:cs="Times New Roman"/>
          <w:color w:val="auto"/>
          <w:highlight w:val="none"/>
        </w:rPr>
        <w:t>第</w:t>
      </w:r>
      <w:r>
        <w:rPr>
          <w:rFonts w:hint="eastAsia" w:cs="Times New Roman"/>
          <w:color w:val="auto"/>
          <w:highlight w:val="none"/>
          <w:lang w:val="en-US" w:eastAsia="zh-CN"/>
        </w:rPr>
        <w:t>二</w:t>
      </w:r>
      <w:r>
        <w:rPr>
          <w:rFonts w:cs="Times New Roman"/>
          <w:color w:val="auto"/>
          <w:highlight w:val="none"/>
        </w:rPr>
        <w:t>节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 </w:t>
      </w:r>
      <w:bookmarkEnd w:id="7"/>
      <w:bookmarkEnd w:id="8"/>
      <w:r>
        <w:rPr>
          <w:rFonts w:hint="eastAsia" w:cs="Times New Roman"/>
          <w:color w:val="auto"/>
          <w:highlight w:val="none"/>
          <w:lang w:val="en-US" w:eastAsia="zh-CN"/>
        </w:rPr>
        <w:t>发展机遇</w:t>
      </w:r>
      <w:bookmarkEnd w:id="10"/>
      <w:bookmarkEnd w:id="11"/>
    </w:p>
    <w:p w14:paraId="40D14E0C">
      <w:pPr>
        <w:bidi w:val="0"/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区位禀赋坚实厚重，核心市场优势凸显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eastAsia="zh-CN"/>
        </w:rPr>
        <w:t>。</w:t>
      </w:r>
      <w:r>
        <w:rPr>
          <w:color w:val="auto"/>
          <w:highlight w:val="none"/>
          <w:lang w:val="en-US" w:eastAsia="zh-CN"/>
        </w:rPr>
        <w:t>作为首府核心城区，区位交通优越</w:t>
      </w:r>
      <w:r>
        <w:rPr>
          <w:rFonts w:hint="eastAsia"/>
          <w:color w:val="auto"/>
          <w:highlight w:val="none"/>
          <w:lang w:val="en-US" w:eastAsia="zh-CN"/>
        </w:rPr>
        <w:t>，</w:t>
      </w:r>
      <w:r>
        <w:rPr>
          <w:color w:val="auto"/>
          <w:highlight w:val="none"/>
          <w:lang w:val="en-US" w:eastAsia="zh-CN"/>
        </w:rPr>
        <w:t>人口集聚</w:t>
      </w:r>
      <w:r>
        <w:rPr>
          <w:rFonts w:hint="eastAsia"/>
          <w:color w:val="auto"/>
          <w:highlight w:val="none"/>
          <w:lang w:val="en-US" w:eastAsia="zh-CN"/>
        </w:rPr>
        <w:t>效应</w:t>
      </w:r>
      <w:r>
        <w:rPr>
          <w:color w:val="auto"/>
          <w:highlight w:val="none"/>
          <w:lang w:val="en-US" w:eastAsia="zh-CN"/>
        </w:rPr>
        <w:t>增强，商业配套体系完备，区域消费辐射能级强劲。</w:t>
      </w:r>
    </w:p>
    <w:p w14:paraId="2246B966">
      <w:pPr>
        <w:bidi w:val="0"/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数字产业双向赋能，协同发展动能充沛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eastAsia="zh-CN"/>
        </w:rPr>
        <w:t>。</w:t>
      </w:r>
      <w:r>
        <w:rPr>
          <w:rFonts w:hint="eastAsia"/>
          <w:color w:val="auto"/>
          <w:highlight w:val="none"/>
          <w:lang w:eastAsia="zh-CN"/>
        </w:rPr>
        <w:t>数字支撑坚实，5G覆盖率超99%，智慧楼宇应用率超90%，建成全区首个“城市大脑”。100栋高端楼宇年税收破15亿元，楼宇与会展双向赋能，助力商贸高质量发展。</w:t>
      </w:r>
    </w:p>
    <w:p w14:paraId="69F78A9C">
      <w:pPr>
        <w:bidi w:val="0"/>
        <w:rPr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政策红利叠加释放，升级扩容空间广阔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eastAsia="zh-CN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抢</w:t>
      </w:r>
      <w:r>
        <w:rPr>
          <w:color w:val="auto"/>
          <w:highlight w:val="none"/>
          <w:lang w:val="en-US" w:eastAsia="zh-CN"/>
        </w:rPr>
        <w:t>抓国家及地方促消费政策机遇，融入各级发展布局。消费结构加快升级，首店突破270家，夜间经济成效突出。2025年接待游客1100万人次、旅游收入120亿元，消费增量空间广阔。</w:t>
      </w:r>
    </w:p>
    <w:p w14:paraId="50B01C05">
      <w:pPr>
        <w:bidi w:val="0"/>
        <w:rPr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同时，</w:t>
      </w:r>
      <w:r>
        <w:rPr>
          <w:color w:val="auto"/>
          <w:highlight w:val="none"/>
          <w:lang w:val="en-US" w:eastAsia="zh-CN"/>
        </w:rPr>
        <w:t>对标上级要求、人民群众期盼和</w:t>
      </w:r>
      <w:r>
        <w:rPr>
          <w:rFonts w:hint="eastAsia"/>
          <w:color w:val="auto"/>
          <w:highlight w:val="none"/>
          <w:lang w:val="en-US" w:eastAsia="zh-CN"/>
        </w:rPr>
        <w:t>高质量发展</w:t>
      </w:r>
      <w:r>
        <w:rPr>
          <w:color w:val="auto"/>
          <w:highlight w:val="none"/>
          <w:lang w:val="en-US" w:eastAsia="zh-CN"/>
        </w:rPr>
        <w:t>要求，</w:t>
      </w:r>
      <w:r>
        <w:rPr>
          <w:rFonts w:hint="eastAsia"/>
          <w:color w:val="auto"/>
          <w:highlight w:val="none"/>
          <w:lang w:val="en-US" w:eastAsia="zh-CN"/>
        </w:rPr>
        <w:t>金凤区商贸消费会展的</w:t>
      </w:r>
      <w:r>
        <w:rPr>
          <w:color w:val="auto"/>
          <w:highlight w:val="none"/>
          <w:lang w:val="en-US" w:eastAsia="zh-CN"/>
        </w:rPr>
        <w:t>发展面临多重问题与挑战。</w:t>
      </w:r>
      <w:r>
        <w:rPr>
          <w:color w:val="auto"/>
          <w:highlight w:val="none"/>
        </w:rPr>
        <w:t>汽车</w:t>
      </w:r>
      <w:r>
        <w:rPr>
          <w:rFonts w:hint="eastAsia"/>
          <w:color w:val="auto"/>
          <w:highlight w:val="none"/>
          <w:lang w:val="en-US" w:eastAsia="zh-CN"/>
        </w:rPr>
        <w:t>消费</w:t>
      </w:r>
      <w:bookmarkStart w:id="90" w:name="_GoBack"/>
      <w:bookmarkEnd w:id="90"/>
      <w:r>
        <w:rPr>
          <w:color w:val="auto"/>
          <w:highlight w:val="none"/>
        </w:rPr>
        <w:t>占</w:t>
      </w:r>
      <w:r>
        <w:rPr>
          <w:rFonts w:hint="eastAsia"/>
          <w:color w:val="auto"/>
          <w:highlight w:val="none"/>
          <w:lang w:val="en-US" w:eastAsia="zh-CN"/>
        </w:rPr>
        <w:t>社消零比例</w:t>
      </w:r>
      <w:r>
        <w:rPr>
          <w:color w:val="auto"/>
          <w:highlight w:val="none"/>
        </w:rPr>
        <w:t>偏高，会展能级不高，融合效应未充分释放；区域竞争加剧，业态同质化存在消费外流风险；传统运营模式承压，商业载体空置率偏高。</w:t>
      </w:r>
    </w:p>
    <w:bookmarkEnd w:id="9"/>
    <w:p w14:paraId="2CC8F202">
      <w:pPr>
        <w:pStyle w:val="2"/>
        <w:spacing w:before="156" w:after="156"/>
        <w:rPr>
          <w:rFonts w:hint="eastAsia" w:eastAsia="方正小标宋简体" w:cs="Times New Roman"/>
          <w:color w:val="auto"/>
          <w:highlight w:val="none"/>
          <w:lang w:val="en-US" w:eastAsia="zh-CN"/>
        </w:rPr>
      </w:pPr>
      <w:bookmarkStart w:id="12" w:name="_Toc10042"/>
      <w:bookmarkStart w:id="13" w:name="_Toc15894"/>
      <w:bookmarkStart w:id="14" w:name="_Toc16035"/>
      <w:bookmarkStart w:id="15" w:name="_Toc6839"/>
      <w:bookmarkStart w:id="16" w:name="_Toc26877"/>
      <w:r>
        <w:rPr>
          <w:rFonts w:cs="Times New Roman"/>
          <w:color w:val="auto"/>
          <w:highlight w:val="none"/>
        </w:rPr>
        <w:t>第二章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cs="Times New Roman"/>
          <w:color w:val="auto"/>
          <w:highlight w:val="none"/>
        </w:rPr>
        <w:t>总体思路</w:t>
      </w:r>
      <w:bookmarkEnd w:id="12"/>
      <w:bookmarkEnd w:id="13"/>
      <w:bookmarkEnd w:id="14"/>
      <w:r>
        <w:rPr>
          <w:rFonts w:hint="eastAsia" w:cs="Times New Roman"/>
          <w:color w:val="auto"/>
          <w:highlight w:val="none"/>
          <w:lang w:val="en-US" w:eastAsia="zh-CN"/>
        </w:rPr>
        <w:t>与目标</w:t>
      </w:r>
      <w:bookmarkEnd w:id="15"/>
      <w:bookmarkEnd w:id="16"/>
    </w:p>
    <w:p w14:paraId="33F8FAD6">
      <w:pPr>
        <w:pStyle w:val="3"/>
        <w:rPr>
          <w:rFonts w:cs="Times New Roman"/>
          <w:color w:val="auto"/>
          <w:highlight w:val="none"/>
        </w:rPr>
      </w:pPr>
      <w:bookmarkStart w:id="17" w:name="_Toc9510"/>
      <w:bookmarkStart w:id="18" w:name="_Toc13324"/>
      <w:bookmarkStart w:id="19" w:name="_Toc25320"/>
      <w:bookmarkStart w:id="20" w:name="_Toc5707"/>
      <w:bookmarkStart w:id="21" w:name="_Toc7517"/>
      <w:r>
        <w:rPr>
          <w:rFonts w:cs="Times New Roman"/>
          <w:color w:val="auto"/>
          <w:highlight w:val="none"/>
        </w:rPr>
        <w:t>第一节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 </w:t>
      </w:r>
      <w:r>
        <w:rPr>
          <w:rFonts w:cs="Times New Roman"/>
          <w:color w:val="auto"/>
          <w:highlight w:val="none"/>
        </w:rPr>
        <w:t>指导思想</w:t>
      </w:r>
      <w:bookmarkEnd w:id="17"/>
      <w:bookmarkEnd w:id="18"/>
      <w:bookmarkEnd w:id="19"/>
      <w:bookmarkEnd w:id="20"/>
      <w:bookmarkEnd w:id="21"/>
    </w:p>
    <w:p w14:paraId="7D6BE58F">
      <w:pPr>
        <w:ind w:firstLine="64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坚持以习近平新时代中国特色社会主义思想为指导，全面贯彻党的二十大和二十届历次全会精神，深入贯彻习近平总书记考察宁夏重要讲话精神。践行国内国际双循环发展战略，紧扣自治区六大特色优势产业集群与四大重点产业布局，落实银川市“五八”强首府战略和“一湖三都六基地”“一区两地五中心”建设要求。坚持稳中求进，完整、准确、全面贯彻新发展理念，以高质量发展为主题，以供给侧结构性改革为重点，以铸牢中华民族共同体意识为主线。聚焦消费提质升级，培育新型消费业态，发挥“悦享金凤”品牌效应，推动商文旅农体酒深度融合。强化数字赋能，优化营商环境，落实金凤区“136”发展战略，立足“首府核心区”定位，激发市场活力、提升消费能级，为谱写中国式现代化宁夏篇章贡献金凤力量。</w:t>
      </w:r>
    </w:p>
    <w:p w14:paraId="4799A708">
      <w:pPr>
        <w:pStyle w:val="3"/>
        <w:rPr>
          <w:rFonts w:cs="Times New Roman"/>
          <w:color w:val="auto"/>
          <w:highlight w:val="none"/>
        </w:rPr>
      </w:pPr>
      <w:bookmarkStart w:id="22" w:name="_Toc928"/>
      <w:bookmarkStart w:id="23" w:name="_Toc6354"/>
      <w:bookmarkStart w:id="24" w:name="_Toc17453"/>
      <w:bookmarkStart w:id="25" w:name="_Toc1120"/>
      <w:bookmarkStart w:id="26" w:name="_Toc13116"/>
      <w:r>
        <w:rPr>
          <w:rFonts w:cs="Times New Roman"/>
          <w:color w:val="auto"/>
          <w:highlight w:val="none"/>
        </w:rPr>
        <w:t>第</w:t>
      </w:r>
      <w:r>
        <w:rPr>
          <w:rFonts w:hint="eastAsia" w:cs="Times New Roman"/>
          <w:color w:val="auto"/>
          <w:highlight w:val="none"/>
          <w:lang w:val="en-US" w:eastAsia="zh-CN"/>
        </w:rPr>
        <w:t>二</w:t>
      </w:r>
      <w:r>
        <w:rPr>
          <w:rFonts w:cs="Times New Roman"/>
          <w:color w:val="auto"/>
          <w:highlight w:val="none"/>
        </w:rPr>
        <w:t>节</w:t>
      </w:r>
      <w:bookmarkEnd w:id="22"/>
      <w:bookmarkEnd w:id="23"/>
      <w:r>
        <w:rPr>
          <w:rFonts w:hint="eastAsia" w:cs="Times New Roman"/>
          <w:color w:val="auto"/>
          <w:highlight w:val="none"/>
          <w:lang w:val="en-US" w:eastAsia="zh-CN"/>
        </w:rPr>
        <w:t xml:space="preserve"> </w:t>
      </w:r>
      <w:r>
        <w:rPr>
          <w:rFonts w:cs="Times New Roman"/>
          <w:color w:val="auto"/>
          <w:highlight w:val="none"/>
        </w:rPr>
        <w:t>战略导向</w:t>
      </w:r>
      <w:bookmarkEnd w:id="24"/>
      <w:bookmarkEnd w:id="25"/>
      <w:bookmarkEnd w:id="26"/>
    </w:p>
    <w:p w14:paraId="08CF4A29">
      <w:pPr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战略定位：</w:t>
      </w:r>
      <w:r>
        <w:rPr>
          <w:rFonts w:hint="eastAsia"/>
          <w:color w:val="auto"/>
          <w:highlight w:val="none"/>
        </w:rPr>
        <w:t>实施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双核驱动，辐射毗邻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核心战略，打造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银川都市圈消费核心引擎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  <w:lang w:val="en-US" w:eastAsia="zh-CN"/>
        </w:rPr>
        <w:t>和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宁夏商文旅服务中台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。</w:t>
      </w:r>
    </w:p>
    <w:p w14:paraId="7180DCC9">
      <w:pPr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支撑体系：</w:t>
      </w:r>
      <w:r>
        <w:rPr>
          <w:rFonts w:hint="eastAsia"/>
          <w:color w:val="auto"/>
          <w:highlight w:val="none"/>
        </w:rPr>
        <w:t>建设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三新消费引领与品质生活践行区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；打造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区域性商贸与会展服务赋能中台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；构筑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‘一带一路’经贸合作交流体验门户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；创建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数字赋能与现代流通集散地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。</w:t>
      </w:r>
    </w:p>
    <w:p w14:paraId="5ECB34CE">
      <w:pPr>
        <w:pStyle w:val="3"/>
        <w:rPr>
          <w:rFonts w:cs="Times New Roman"/>
          <w:color w:val="auto"/>
          <w:highlight w:val="none"/>
        </w:rPr>
      </w:pPr>
      <w:bookmarkStart w:id="27" w:name="_Toc23597"/>
      <w:bookmarkStart w:id="28" w:name="_Toc12376"/>
      <w:bookmarkStart w:id="29" w:name="_Toc7032"/>
      <w:r>
        <w:rPr>
          <w:rFonts w:cs="Times New Roman"/>
          <w:color w:val="auto"/>
          <w:highlight w:val="none"/>
        </w:rPr>
        <w:t>第</w:t>
      </w:r>
      <w:r>
        <w:rPr>
          <w:rFonts w:hint="eastAsia" w:cs="Times New Roman"/>
          <w:color w:val="auto"/>
          <w:highlight w:val="none"/>
          <w:lang w:val="en-US" w:eastAsia="zh-CN"/>
        </w:rPr>
        <w:t>三</w:t>
      </w:r>
      <w:r>
        <w:rPr>
          <w:rFonts w:cs="Times New Roman"/>
          <w:color w:val="auto"/>
          <w:highlight w:val="none"/>
        </w:rPr>
        <w:t>节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 </w:t>
      </w:r>
      <w:r>
        <w:rPr>
          <w:rFonts w:cs="Times New Roman"/>
          <w:color w:val="auto"/>
          <w:highlight w:val="none"/>
        </w:rPr>
        <w:t>发展目标</w:t>
      </w:r>
      <w:bookmarkEnd w:id="27"/>
      <w:bookmarkEnd w:id="28"/>
      <w:bookmarkEnd w:id="29"/>
    </w:p>
    <w:p w14:paraId="0F0BDF0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到2030年，区域商贸消费发展实现全方位跃升：“银川都市圈消费核心引擎”“宁夏商文旅服务中台”地位基本确立，消费能级稳步提升，品牌集聚度、消费活跃度位居区域前列，传统消费提质扩容、新型消费加速涌现，持续巩固消费对经济增长的基础性作用；商贸与会展服务赋能中台基本建成，楼宇经济、会展经济能级显著提升，成为产业升级、内外联通的重要引擎；“一带一路”经贸合作门户作用充分发挥，商文旅农体酒融合特色凸显，形成一批特色消费产品与品牌；数字融合生态基本形成，智慧商圈、智慧物流等新型基建全面落地，消费环境持续优化，形成供需互促、产销并进的良性循环。</w:t>
      </w:r>
    </w:p>
    <w:p w14:paraId="2B41C7EC">
      <w:pPr>
        <w:pStyle w:val="3"/>
        <w:bidi w:val="0"/>
        <w:rPr>
          <w:color w:val="auto"/>
          <w:highlight w:val="none"/>
        </w:rPr>
      </w:pPr>
      <w:bookmarkStart w:id="30" w:name="_Toc16322"/>
      <w:bookmarkStart w:id="31" w:name="_Toc23739"/>
      <w:r>
        <w:rPr>
          <w:rFonts w:hint="eastAsia"/>
          <w:color w:val="auto"/>
          <w:highlight w:val="none"/>
        </w:rPr>
        <w:t>第</w:t>
      </w:r>
      <w:r>
        <w:rPr>
          <w:rFonts w:hint="eastAsia"/>
          <w:color w:val="auto"/>
          <w:highlight w:val="none"/>
          <w:lang w:val="en-US" w:eastAsia="zh-CN"/>
        </w:rPr>
        <w:t>四</w:t>
      </w:r>
      <w:r>
        <w:rPr>
          <w:rFonts w:hint="eastAsia"/>
          <w:color w:val="auto"/>
          <w:highlight w:val="none"/>
        </w:rPr>
        <w:t>节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>战略</w:t>
      </w:r>
      <w:r>
        <w:rPr>
          <w:color w:val="auto"/>
          <w:highlight w:val="none"/>
        </w:rPr>
        <w:t>布局</w:t>
      </w:r>
      <w:bookmarkEnd w:id="30"/>
      <w:bookmarkEnd w:id="31"/>
    </w:p>
    <w:p w14:paraId="4AE1E003">
      <w:pPr>
        <w:ind w:firstLine="640"/>
        <w:rPr>
          <w:rFonts w:hint="eastAsia" w:cs="Times New Roman"/>
          <w:color w:val="auto"/>
          <w:highlight w:val="none"/>
        </w:rPr>
      </w:pPr>
      <w:r>
        <w:rPr>
          <w:rFonts w:hint="eastAsia" w:cs="Times New Roman"/>
          <w:color w:val="auto"/>
          <w:highlight w:val="none"/>
        </w:rPr>
        <w:t>构建</w:t>
      </w:r>
      <w:r>
        <w:rPr>
          <w:rFonts w:hint="eastAsia" w:cs="Times New Roman"/>
          <w:color w:val="auto"/>
          <w:highlight w:val="none"/>
          <w:lang w:eastAsia="zh-CN"/>
        </w:rPr>
        <w:t>“</w:t>
      </w:r>
      <w:r>
        <w:rPr>
          <w:rFonts w:hint="eastAsia" w:cs="Times New Roman"/>
          <w:color w:val="auto"/>
          <w:highlight w:val="none"/>
        </w:rPr>
        <w:t>两带牵引、一轴串联、七圈驱动、两极崛起、多点支撑</w:t>
      </w:r>
      <w:r>
        <w:rPr>
          <w:rFonts w:hint="eastAsia" w:cs="Times New Roman"/>
          <w:color w:val="auto"/>
          <w:highlight w:val="none"/>
          <w:lang w:eastAsia="zh-CN"/>
        </w:rPr>
        <w:t>”</w:t>
      </w:r>
      <w:r>
        <w:rPr>
          <w:rFonts w:hint="eastAsia" w:cs="Times New Roman"/>
          <w:color w:val="auto"/>
          <w:highlight w:val="none"/>
        </w:rPr>
        <w:t>（2+1+7+2+N）总体发展格局。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“两带”：</w:t>
      </w:r>
      <w:r>
        <w:rPr>
          <w:rFonts w:hint="eastAsia" w:cs="Times New Roman"/>
          <w:color w:val="auto"/>
          <w:highlight w:val="none"/>
        </w:rPr>
        <w:t>正源街商文旅融合体验带；宁安街文化博览与都市休闲带。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“一轴”：</w:t>
      </w:r>
      <w:r>
        <w:rPr>
          <w:rFonts w:hint="eastAsia" w:cs="Times New Roman"/>
          <w:color w:val="auto"/>
          <w:highlight w:val="none"/>
        </w:rPr>
        <w:t>北京中路城市功能聚合轴。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“七圈”：</w:t>
      </w:r>
      <w:r>
        <w:rPr>
          <w:rFonts w:hint="eastAsia" w:cs="Times New Roman"/>
          <w:color w:val="auto"/>
          <w:highlight w:val="none"/>
        </w:rPr>
        <w:t>优化提升阅彩城、金凤万达悠阅城、新华联广场、新华百货CCpark、悦海新天地、星嘉中心七大商圈。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“两极”：</w:t>
      </w:r>
      <w:r>
        <w:rPr>
          <w:rFonts w:hint="eastAsia" w:cs="Times New Roman"/>
          <w:color w:val="auto"/>
          <w:highlight w:val="none"/>
        </w:rPr>
        <w:t>阅海湾科创港（高端商务与消费地标）；七子连湖滨水商业区（绿色活力极核）。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“多点”：</w:t>
      </w:r>
      <w:r>
        <w:rPr>
          <w:rFonts w:hint="eastAsia" w:cs="Times New Roman"/>
          <w:color w:val="auto"/>
          <w:highlight w:val="none"/>
        </w:rPr>
        <w:t>培育</w:t>
      </w:r>
      <w:r>
        <w:rPr>
          <w:rFonts w:hint="eastAsia" w:cs="Times New Roman"/>
          <w:color w:val="auto"/>
          <w:highlight w:val="none"/>
          <w:lang w:eastAsia="zh-CN"/>
        </w:rPr>
        <w:t>“三新”</w:t>
      </w:r>
      <w:r>
        <w:rPr>
          <w:rFonts w:hint="eastAsia" w:cs="Times New Roman"/>
          <w:color w:val="auto"/>
          <w:highlight w:val="none"/>
        </w:rPr>
        <w:t>消费场景、特色商业街区、社区商业中心，织密服务微循环。</w:t>
      </w:r>
    </w:p>
    <w:p w14:paraId="50EFDBA8">
      <w:pPr>
        <w:pStyle w:val="2"/>
        <w:spacing w:before="156" w:after="156"/>
        <w:rPr>
          <w:rFonts w:hint="default" w:cs="Times New Roman"/>
          <w:color w:val="auto"/>
          <w:highlight w:val="none"/>
          <w:lang w:val="en-US"/>
        </w:rPr>
      </w:pPr>
      <w:bookmarkStart w:id="32" w:name="_Toc22203"/>
      <w:bookmarkStart w:id="33" w:name="_Toc22785"/>
      <w:r>
        <w:rPr>
          <w:rFonts w:cs="Times New Roman"/>
          <w:color w:val="auto"/>
          <w:highlight w:val="none"/>
        </w:rPr>
        <w:t>第</w:t>
      </w:r>
      <w:r>
        <w:rPr>
          <w:rFonts w:hint="eastAsia" w:cs="Times New Roman"/>
          <w:color w:val="auto"/>
          <w:highlight w:val="none"/>
          <w:lang w:val="en-US" w:eastAsia="zh-CN"/>
        </w:rPr>
        <w:t>三</w:t>
      </w:r>
      <w:r>
        <w:rPr>
          <w:rFonts w:cs="Times New Roman"/>
          <w:color w:val="auto"/>
          <w:highlight w:val="none"/>
        </w:rPr>
        <w:t>章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 重点任务与举措</w:t>
      </w:r>
      <w:bookmarkEnd w:id="32"/>
      <w:bookmarkEnd w:id="33"/>
    </w:p>
    <w:p w14:paraId="394AA583">
      <w:pPr>
        <w:pStyle w:val="3"/>
        <w:bidi w:val="0"/>
        <w:jc w:val="center"/>
        <w:rPr>
          <w:rFonts w:hint="default"/>
          <w:color w:val="auto"/>
          <w:highlight w:val="none"/>
          <w:lang w:val="en-US" w:eastAsia="zh-CN"/>
        </w:rPr>
      </w:pPr>
      <w:bookmarkStart w:id="34" w:name="_Toc27725"/>
      <w:bookmarkStart w:id="35" w:name="_Toc29315"/>
      <w:r>
        <w:rPr>
          <w:rFonts w:hint="eastAsia"/>
          <w:color w:val="auto"/>
          <w:highlight w:val="none"/>
          <w:lang w:val="en-US" w:eastAsia="zh-CN"/>
        </w:rPr>
        <w:t>第一节 提质消费供给，构建多层次新消费体系</w:t>
      </w:r>
      <w:bookmarkEnd w:id="34"/>
      <w:bookmarkEnd w:id="35"/>
    </w:p>
    <w:p w14:paraId="6D350837">
      <w:pPr>
        <w:bidi w:val="0"/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</w:pPr>
      <w:bookmarkStart w:id="36" w:name="_Toc26017"/>
      <w:bookmarkStart w:id="37" w:name="_Toc31681"/>
      <w:r>
        <w:rPr>
          <w:rFonts w:hint="default" w:ascii="楷体" w:hAnsi="楷体" w:eastAsia="楷体" w:cs="楷体"/>
          <w:b/>
          <w:bCs/>
          <w:color w:val="auto"/>
          <w:highlight w:val="none"/>
          <w:lang w:eastAsia="zh-CN"/>
        </w:rPr>
        <w:t>（一）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大力发展服务消费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，培育经济新增长点</w:t>
      </w:r>
      <w:bookmarkEnd w:id="36"/>
      <w:bookmarkEnd w:id="37"/>
    </w:p>
    <w:p w14:paraId="363C018E">
      <w:pPr>
        <w:bidi w:val="0"/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促进餐饮业特色多元化发展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</w:rPr>
        <w:t>依托核心商圈打造南北餐饮城市会客厅，培育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宜味金凤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品牌与特色食材IP，壮大夜间餐饮业态，创新体验型消费场景，优化便民早餐供给，推动餐饮数字化升级，稳步提升行业营收规模，扶持本土品牌向外拓展布局</w:t>
      </w:r>
      <w:r>
        <w:rPr>
          <w:color w:val="auto"/>
          <w:highlight w:val="none"/>
        </w:rPr>
        <w:t>。</w:t>
      </w:r>
    </w:p>
    <w:p w14:paraId="3F66D098">
      <w:pPr>
        <w:bidi w:val="0"/>
        <w:rPr>
          <w:rFonts w:hint="default"/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推进住宿业品质体验化发展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</w:rPr>
        <w:t>构</w:t>
      </w:r>
      <w:r>
        <w:rPr>
          <w:rFonts w:hint="default"/>
          <w:color w:val="auto"/>
          <w:highlight w:val="none"/>
        </w:rPr>
        <w:t>建星级酒店、精品民宿等多元住宿供给矩阵，落实奖励政策引育优质品牌，推进适老化、儿童友好改造，布局智慧酒店业态，健全服务标准与评选机制，稳步提升行业营收规模，打造一批具有区域影响力的标杆住宿品牌。</w:t>
      </w:r>
    </w:p>
    <w:p w14:paraId="1EC748C2">
      <w:pPr>
        <w:bidi w:val="0"/>
        <w:rPr>
          <w:rFonts w:hint="default"/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引导居民服务业便利化发展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rFonts w:hint="default"/>
          <w:color w:val="auto"/>
          <w:highlight w:val="none"/>
        </w:rPr>
        <w:t>深化家政养老融合，拓展新兴家政业态，培育本土龙头企业；打造便民生活圈，完善配套设施，构建服务标准体系，推动生活服务业规范化品质化发展。</w:t>
      </w:r>
    </w:p>
    <w:p w14:paraId="4F741002">
      <w:pPr>
        <w:bidi w:val="0"/>
        <w:rPr>
          <w:rFonts w:hint="default"/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推动培训服务提质增效发展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规</w:t>
      </w:r>
      <w:r>
        <w:rPr>
          <w:color w:val="auto"/>
          <w:highlight w:val="none"/>
        </w:rPr>
        <w:t>范非学科类培训准入，开展职业技能、家政养老等专项培训，增加普惠托育与老年教育供给；打造全龄教培生态，推动商圈社区双布局</w:t>
      </w:r>
      <w:r>
        <w:rPr>
          <w:color w:val="auto"/>
          <w:highlight w:val="none"/>
        </w:rPr>
        <w:t>，拓展新兴技能培训。</w:t>
      </w:r>
    </w:p>
    <w:p w14:paraId="6A63FC7D">
      <w:pPr>
        <w:bidi w:val="0"/>
        <w:rPr>
          <w:rFonts w:hint="default"/>
          <w:color w:val="auto"/>
          <w:highlight w:val="none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22"/>
          <w:highlight w:val="none"/>
        </w:rPr>
        <w:t>深化医养融合护航养老发展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22"/>
          <w:highlight w:val="none"/>
          <w:lang w:eastAsia="zh-CN"/>
        </w:rPr>
        <w:t>。</w:t>
      </w:r>
      <w:r>
        <w:rPr>
          <w:color w:val="auto"/>
          <w:highlight w:val="none"/>
        </w:rPr>
        <w:t>依托国家医养结合示范县区建设契机，统筹康养空间布局，完善15分钟医养服务圈；依托107支家庭医生团队拓展便民服务，推广智能康养，</w:t>
      </w:r>
      <w:r>
        <w:rPr>
          <w:rFonts w:hint="eastAsia"/>
          <w:color w:val="auto"/>
          <w:highlight w:val="none"/>
          <w:lang w:eastAsia="zh-CN"/>
        </w:rPr>
        <w:t>发展医</w:t>
      </w:r>
      <w:r>
        <w:rPr>
          <w:rFonts w:hint="eastAsia"/>
          <w:color w:val="auto"/>
          <w:highlight w:val="none"/>
          <w:lang w:val="en-US" w:eastAsia="zh-CN"/>
        </w:rPr>
        <w:t>养结合，</w:t>
      </w:r>
      <w:r>
        <w:rPr>
          <w:color w:val="auto"/>
          <w:highlight w:val="none"/>
        </w:rPr>
        <w:t>发展嵌入式养老，支持本土机构提档升级，构建医养康护融合格局。</w:t>
      </w:r>
    </w:p>
    <w:p w14:paraId="26AF4B1E">
      <w:pP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</w:pPr>
      <w:bookmarkStart w:id="38" w:name="_Toc17485"/>
      <w:bookmarkStart w:id="39" w:name="_Toc11471"/>
      <w:r>
        <w:rPr>
          <w:rFonts w:hint="default" w:ascii="楷体" w:hAnsi="楷体" w:eastAsia="楷体" w:cs="楷体"/>
          <w:b/>
          <w:bCs/>
          <w:color w:val="auto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深化品牌IP，全方位扩大商品消费</w:t>
      </w:r>
      <w:bookmarkEnd w:id="38"/>
      <w:bookmarkEnd w:id="39"/>
    </w:p>
    <w:p w14:paraId="330826B8"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持续办好促消费品牌活动。</w:t>
      </w:r>
      <w:r>
        <w:rPr>
          <w:color w:val="auto"/>
          <w:highlight w:val="none"/>
        </w:rPr>
        <w:t>深耕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悦享金凤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消费IP，构建常态化促消费格局，丰富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夜宴金凤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等子品牌及多元文体活动。深化政银企联动，面向重点领域投放消费券，落实首店首发扶持政策，推动社区商业融入，发放便民消费券，形成协同促消模式。</w:t>
      </w:r>
    </w:p>
    <w:p w14:paraId="6C2C3843">
      <w:pPr>
        <w:bidi w:val="0"/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巩固汽车消费及激活汽车后市场活力。</w:t>
      </w:r>
      <w:r>
        <w:rPr>
          <w:color w:val="auto"/>
          <w:highlight w:val="none"/>
        </w:rPr>
        <w:t>聚焦汽车消费全链条升级，巩固消费基本盘，激活汽车后市场活力。整合维修养护、金融保险等产业资源，打造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销售+服务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一站式汽车消费综合体，实现购车、维保全流程闭环。创新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汽车+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融合场景，打造汽车赛事IP，布局房车露营业态，联动文旅与商圈释放消费潜力。统筹落实各级以旧换新、购车补贴政策，叠加区级专项补贴。</w:t>
      </w:r>
    </w:p>
    <w:p w14:paraId="6306E383"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促进家电消费提质升级。</w:t>
      </w:r>
      <w:r>
        <w:rPr>
          <w:color w:val="auto"/>
          <w:highlight w:val="none"/>
        </w:rPr>
        <w:t>落实家电以旧换新政策，将17类家电纳入分级能效补贴；聚焦3C数码消费升级，投放消费券、引进科技品牌首店、打造智能体验场景；开展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六进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焕新行动，畅通基层消费服务网络。</w:t>
      </w:r>
    </w:p>
    <w:p w14:paraId="332480C1">
      <w:pPr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推动家装消费规范化升级。</w:t>
      </w:r>
      <w:r>
        <w:rPr>
          <w:color w:val="auto"/>
          <w:highlight w:val="none"/>
        </w:rPr>
        <w:t>聚焦绿色智能适老方向，对家装改造所购材料给予补贴，高能效及适老产品适当提标；简化申领流程，强化资金监管，保障消费者合法权益。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29E5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19148339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楷体" w:cs="仿宋_GB2312"/>
                <w:b w:val="0"/>
                <w:bCs/>
                <w:color w:val="auto"/>
                <w:kern w:val="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40" w:name="_Toc9469"/>
            <w:bookmarkStart w:id="41" w:name="_Toc21293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专栏1提质消费供给建设工程</w:t>
            </w:r>
            <w:bookmarkEnd w:id="40"/>
            <w:bookmarkEnd w:id="41"/>
          </w:p>
        </w:tc>
      </w:tr>
      <w:tr w14:paraId="0C42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5D32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2" w:firstLineChars="200"/>
              <w:textAlignment w:val="auto"/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1.餐饮业提升发展工程</w:t>
            </w:r>
          </w:p>
          <w:p w14:paraId="5A7A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2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南北会客厅餐饮双核布局工程：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以悠阅城、阅彩城为核心载体，构建南北联动的城市餐饮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IP。</w:t>
            </w:r>
          </w:p>
          <w:p w14:paraId="4BC0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2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宜味金凤</w:t>
            </w: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餐饮品牌培育工程：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布局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建设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宁夏特色食材体验中心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支持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览山涧、宁小羊黄渠桥爆炒羊羔肉、和牛殿高品质餐饮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项目。</w:t>
            </w:r>
          </w:p>
          <w:p w14:paraId="77C2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2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民生普惠餐饮提质工程：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便民早餐网点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，扶持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早餐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连锁化、标准化发展，强化民生餐饮服务保障。</w:t>
            </w:r>
          </w:p>
          <w:p w14:paraId="2262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2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2.住宿业提升工程</w:t>
            </w: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知名品牌、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育本土特色民宿，构建多元供给矩阵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重点支持汇融诺富特酒店与贺兰山东麓酒庄联名升级改造项目、支持万豪、凯宾斯基等提升设施与服务。</w:t>
            </w:r>
          </w:p>
          <w:p w14:paraId="259B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cs="仿宋_GB2312" w:eastAsiaTheme="minorEastAsia"/>
                <w:b w:val="0"/>
                <w:bCs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3.汽车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消费提质工程。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完善汽车城基础配套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，鼓励建设“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汽车+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”和汽车赛事活动，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壮大汽车公园品牌汇聚力。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衔接银川汽车流通消费改革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城市试点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建设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，推进汽车后市场服务生态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发展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</w:tbl>
    <w:p w14:paraId="59733BA0">
      <w:pPr>
        <w:rPr>
          <w:rFonts w:hint="eastAsia"/>
          <w:color w:val="auto"/>
          <w:highlight w:val="none"/>
          <w:lang w:eastAsia="zh-CN"/>
        </w:rPr>
      </w:pPr>
    </w:p>
    <w:p w14:paraId="03368BA9">
      <w:pPr>
        <w:pStyle w:val="3"/>
        <w:bidi w:val="0"/>
        <w:rPr>
          <w:rFonts w:hint="eastAsia"/>
          <w:color w:val="auto"/>
          <w:highlight w:val="none"/>
          <w:lang w:val="en-US" w:eastAsia="zh-CN"/>
        </w:rPr>
      </w:pPr>
      <w:bookmarkStart w:id="42" w:name="_Toc818"/>
      <w:bookmarkStart w:id="43" w:name="_Toc10775"/>
      <w:r>
        <w:rPr>
          <w:rFonts w:hint="eastAsia"/>
          <w:color w:val="auto"/>
          <w:highlight w:val="none"/>
          <w:lang w:val="en-US" w:eastAsia="zh-CN"/>
        </w:rPr>
        <w:t>第二节 聚力“三新”消费，激发内生增长活力</w:t>
      </w:r>
      <w:bookmarkEnd w:id="42"/>
      <w:bookmarkEnd w:id="43"/>
    </w:p>
    <w:p w14:paraId="20E7E862">
      <w:pPr>
        <w:bidi w:val="0"/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深化商文旅农体酒融合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</w:rPr>
        <w:t>整合葡萄酒、特色农业等资源打造商旅文体精品线路，承接赛事展会，完善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赛事+消费</w:t>
      </w:r>
      <w:r>
        <w:rPr>
          <w:rFonts w:hint="eastAsia"/>
          <w:color w:val="auto"/>
          <w:highlight w:val="none"/>
          <w:lang w:eastAsia="zh-CN"/>
        </w:rPr>
        <w:t>”“</w:t>
      </w:r>
      <w:r>
        <w:rPr>
          <w:color w:val="auto"/>
          <w:highlight w:val="none"/>
        </w:rPr>
        <w:t>会展+消费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转化链条。打造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凤栖妙选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公共品牌，构建差异化农文旅走廊，布局沉浸式消费业态。搭建联动服务平台，做强夜间消费集聚区，配套消费券引流，引育市场主体</w:t>
      </w:r>
      <w:r>
        <w:rPr>
          <w:rFonts w:hint="eastAsia"/>
          <w:color w:val="auto"/>
          <w:highlight w:val="none"/>
          <w:lang w:eastAsia="zh-CN"/>
        </w:rPr>
        <w:t>和</w:t>
      </w:r>
      <w:r>
        <w:rPr>
          <w:color w:val="auto"/>
          <w:highlight w:val="none"/>
        </w:rPr>
        <w:t>特色品牌。</w:t>
      </w:r>
    </w:p>
    <w:p w14:paraId="3BBE9B1B">
      <w:pPr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积极发展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四首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”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业态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</w:rPr>
        <w:t>打造首发经济集聚区与区域性首发中心。实施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高能级招引+本土化培育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双轮工程，招引优质首店并给予奖励，培育本土首发品牌与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塞上潮品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。优化全周期服务生态，压缩审批时限，强化知识产权保护。搭建资源对接平台，推动文化IP与首店场景融合，力争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十五五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末首店总量</w:t>
      </w:r>
      <w:r>
        <w:rPr>
          <w:rFonts w:hint="eastAsia"/>
          <w:color w:val="auto"/>
          <w:highlight w:val="none"/>
          <w:lang w:val="en-US" w:eastAsia="zh-CN"/>
        </w:rPr>
        <w:t>累计</w:t>
      </w:r>
      <w:r>
        <w:rPr>
          <w:color w:val="auto"/>
          <w:highlight w:val="none"/>
        </w:rPr>
        <w:t>突破</w:t>
      </w:r>
      <w:r>
        <w:rPr>
          <w:rFonts w:hint="eastAsia"/>
          <w:color w:val="auto"/>
          <w:highlight w:val="none"/>
          <w:lang w:val="en-US" w:eastAsia="zh-CN"/>
        </w:rPr>
        <w:t>400</w:t>
      </w:r>
      <w:r>
        <w:rPr>
          <w:color w:val="auto"/>
          <w:highlight w:val="none"/>
        </w:rPr>
        <w:t>家。</w:t>
      </w:r>
    </w:p>
    <w:p w14:paraId="19CA1F04">
      <w:pPr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发展壮大夜间消费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</w:rPr>
        <w:t>打造国家级夜间文旅消费集聚区，升级街区硬件设施，延长营业时间，布局深夜食堂等业态。创新夜间消费场景，引入</w:t>
      </w:r>
      <w:r>
        <w:rPr>
          <w:rFonts w:hint="eastAsia"/>
          <w:color w:val="auto"/>
          <w:highlight w:val="none"/>
          <w:lang w:val="en-US" w:eastAsia="zh-CN"/>
        </w:rPr>
        <w:t>高端餐秀演艺</w:t>
      </w:r>
      <w:r>
        <w:rPr>
          <w:color w:val="auto"/>
          <w:highlight w:val="none"/>
        </w:rPr>
        <w:t>业态，举办主题活动，实施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夜享城市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品牌工程。联动首店、票根经济，发放夜间消费券，优化配套保障，力争2030年夜间经济销售占比</w:t>
      </w:r>
      <w:r>
        <w:rPr>
          <w:rFonts w:hint="eastAsia"/>
          <w:color w:val="auto"/>
          <w:highlight w:val="none"/>
          <w:lang w:val="en-US" w:eastAsia="zh-CN"/>
        </w:rPr>
        <w:t>稳步提升</w:t>
      </w:r>
      <w:r>
        <w:rPr>
          <w:color w:val="auto"/>
          <w:highlight w:val="none"/>
        </w:rPr>
        <w:t>。</w:t>
      </w:r>
    </w:p>
    <w:p w14:paraId="1218C1D4">
      <w:pPr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积极发展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她经济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”。</w:t>
      </w:r>
      <w:r>
        <w:rPr>
          <w:color w:val="auto"/>
          <w:highlight w:val="none"/>
          <w:lang w:val="en-US" w:eastAsia="zh-CN"/>
        </w:rPr>
        <w:t>精准对接女性多元消费需求，布局高端美妆、时尚服饰等特色业态，开展女性主题活动；优化消费配套，打造亲子闺蜜复合型消费空间，提升女性消费体验。</w:t>
      </w:r>
    </w:p>
    <w:p w14:paraId="2C81ECBD">
      <w:pPr>
        <w:bidi w:val="0"/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培育发展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银发事业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”。</w:t>
      </w:r>
      <w:r>
        <w:rPr>
          <w:color w:val="auto"/>
          <w:highlight w:val="none"/>
          <w:lang w:val="en-US" w:eastAsia="zh-CN"/>
        </w:rPr>
        <w:t>落实市级银发经济发展部署，深耕康养等细分领域，培育本土品牌，推动银发消费升级；推进适老化改造，完善养老服务圈，规范提升服务水平。</w:t>
      </w:r>
    </w:p>
    <w:p w14:paraId="42168595">
      <w:pPr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聚焦深耕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亲子业态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”。</w:t>
      </w:r>
      <w:r>
        <w:rPr>
          <w:color w:val="auto"/>
          <w:highlight w:val="none"/>
          <w:lang w:val="en-US" w:eastAsia="zh-CN"/>
        </w:rPr>
        <w:t>推广</w:t>
      </w:r>
      <w:r>
        <w:rPr>
          <w:rFonts w:hint="eastAsia"/>
          <w:color w:val="auto"/>
          <w:highlight w:val="none"/>
          <w:lang w:val="en-US" w:eastAsia="zh-CN"/>
        </w:rPr>
        <w:t>“</w:t>
      </w:r>
      <w:r>
        <w:rPr>
          <w:color w:val="auto"/>
          <w:highlight w:val="none"/>
          <w:lang w:val="en-US" w:eastAsia="zh-CN"/>
        </w:rPr>
        <w:t>商圈+亲子</w:t>
      </w:r>
      <w:r>
        <w:rPr>
          <w:rFonts w:hint="eastAsia"/>
          <w:color w:val="auto"/>
          <w:highlight w:val="none"/>
          <w:lang w:val="en-US" w:eastAsia="zh-CN"/>
        </w:rPr>
        <w:t>”</w:t>
      </w:r>
      <w:r>
        <w:rPr>
          <w:color w:val="auto"/>
          <w:highlight w:val="none"/>
          <w:lang w:val="en-US" w:eastAsia="zh-CN"/>
        </w:rPr>
        <w:t>模式，整合亲子业态，升级母婴室等便民设施，发布亲子友好设施地图；拓展</w:t>
      </w:r>
      <w:r>
        <w:rPr>
          <w:rFonts w:hint="eastAsia"/>
          <w:color w:val="auto"/>
          <w:highlight w:val="none"/>
          <w:lang w:val="en-US" w:eastAsia="zh-CN"/>
        </w:rPr>
        <w:t>“</w:t>
      </w:r>
      <w:r>
        <w:rPr>
          <w:color w:val="auto"/>
          <w:highlight w:val="none"/>
          <w:lang w:val="en-US" w:eastAsia="zh-CN"/>
        </w:rPr>
        <w:t>亲子+文旅、农业、运动</w:t>
      </w:r>
      <w:r>
        <w:rPr>
          <w:rFonts w:hint="eastAsia"/>
          <w:color w:val="auto"/>
          <w:highlight w:val="none"/>
          <w:lang w:val="en-US" w:eastAsia="zh-CN"/>
        </w:rPr>
        <w:t>”</w:t>
      </w:r>
      <w:r>
        <w:rPr>
          <w:color w:val="auto"/>
          <w:highlight w:val="none"/>
          <w:lang w:val="en-US" w:eastAsia="zh-CN"/>
        </w:rPr>
        <w:t>融合业态，满足家庭多元消费需求。</w:t>
      </w:r>
    </w:p>
    <w:p w14:paraId="3329DF4F">
      <w:pPr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高度关注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“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青春产业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”。</w:t>
      </w:r>
      <w:r>
        <w:rPr>
          <w:color w:val="auto"/>
          <w:highlight w:val="none"/>
          <w:lang w:val="en-US" w:eastAsia="zh-CN"/>
        </w:rPr>
        <w:t>依托</w:t>
      </w:r>
      <w:r>
        <w:rPr>
          <w:rFonts w:hint="eastAsia"/>
          <w:color w:val="auto"/>
          <w:highlight w:val="none"/>
          <w:lang w:val="en-US" w:eastAsia="zh-CN"/>
        </w:rPr>
        <w:t>“</w:t>
      </w:r>
      <w:r>
        <w:rPr>
          <w:color w:val="auto"/>
          <w:highlight w:val="none"/>
          <w:lang w:val="en-US" w:eastAsia="zh-CN"/>
        </w:rPr>
        <w:t>引凤创梦</w:t>
      </w:r>
      <w:r>
        <w:rPr>
          <w:rFonts w:hint="eastAsia"/>
          <w:color w:val="auto"/>
          <w:highlight w:val="none"/>
          <w:lang w:val="en-US" w:eastAsia="zh-CN"/>
        </w:rPr>
        <w:t>”</w:t>
      </w:r>
      <w:r>
        <w:rPr>
          <w:color w:val="auto"/>
          <w:highlight w:val="none"/>
          <w:lang w:val="en-US" w:eastAsia="zh-CN"/>
        </w:rPr>
        <w:t>孵化基地扶持青年创业，盘活商圈闲置空间引入青年潮流业态；推广</w:t>
      </w:r>
      <w:r>
        <w:rPr>
          <w:rFonts w:hint="eastAsia"/>
          <w:color w:val="auto"/>
          <w:highlight w:val="none"/>
          <w:lang w:val="en-US" w:eastAsia="zh-CN"/>
        </w:rPr>
        <w:t>“</w:t>
      </w:r>
      <w:r>
        <w:rPr>
          <w:color w:val="auto"/>
          <w:highlight w:val="none"/>
          <w:lang w:val="en-US" w:eastAsia="zh-CN"/>
        </w:rPr>
        <w:t>商圈+亲子</w:t>
      </w:r>
      <w:r>
        <w:rPr>
          <w:rFonts w:hint="eastAsia"/>
          <w:color w:val="auto"/>
          <w:highlight w:val="none"/>
          <w:lang w:val="en-US" w:eastAsia="zh-CN"/>
        </w:rPr>
        <w:t>”</w:t>
      </w:r>
      <w:r>
        <w:rPr>
          <w:color w:val="auto"/>
          <w:highlight w:val="none"/>
          <w:lang w:val="en-US" w:eastAsia="zh-CN"/>
        </w:rPr>
        <w:t>模式，升级便民配套，拓展多领域亲子融合业态，满足家庭多元消费需求</w:t>
      </w:r>
    </w:p>
    <w:p w14:paraId="1D54B963">
      <w:pPr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提级培育市集消费场景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</w:rPr>
        <w:t>实施市集分层嵌入计划，打造商圈潮流、社区便民、景区文旅三类差异化市集；推行策展人制度，启动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金凤创市者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培育计划，扶持摊主与运营主体，构建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市集+门店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联动消费格局。</w:t>
      </w:r>
    </w:p>
    <w:p w14:paraId="670AF16E">
      <w:pPr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发展壮大</w:t>
      </w: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低空消费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  <w:lang w:val="en-US" w:eastAsia="zh-CN"/>
        </w:rPr>
        <w:t>依托低空产业载体升级观光航线，推出多元飞行产品并配套消费补贴，简化审批、完善保障体系，打造低空消费地标；规范无人机管理，布局共享设备，拓展多元应用场景。</w:t>
      </w:r>
    </w:p>
    <w:p w14:paraId="70AB7F17">
      <w:pPr>
        <w:rPr>
          <w:color w:val="auto"/>
          <w:highlight w:val="none"/>
        </w:rPr>
      </w:pPr>
      <w:r>
        <w:rPr>
          <w:rFonts w:hint="default" w:ascii="楷体" w:hAnsi="楷体" w:eastAsia="楷体" w:cs="楷体"/>
          <w:b/>
          <w:bCs/>
          <w:color w:val="auto"/>
          <w:highlight w:val="none"/>
          <w:lang w:val="en-US" w:eastAsia="zh-CN"/>
        </w:rPr>
        <w:t>鼓励发展宠物服务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。</w:t>
      </w:r>
      <w:r>
        <w:rPr>
          <w:color w:val="auto"/>
          <w:highlight w:val="none"/>
        </w:rPr>
        <w:t>依托花鸟鱼市场与宠物服务集聚带升级宠物综合业态，拓展多元服务；推进公园、商圈宠物友好场景建设，打造两大示范商圈；举办主题活动，构建联动发展格局，释放宠物经济消费活力。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57B8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5D539DCB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楷体" w:cs="仿宋_GB2312"/>
                <w:b w:val="0"/>
                <w:bCs/>
                <w:color w:val="auto"/>
                <w:kern w:val="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44" w:name="_Toc8289"/>
            <w:bookmarkStart w:id="45" w:name="_Toc18055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专栏2创新业态丰富场景建设工程</w:t>
            </w:r>
            <w:bookmarkEnd w:id="44"/>
            <w:bookmarkEnd w:id="45"/>
          </w:p>
        </w:tc>
      </w:tr>
      <w:tr w14:paraId="025D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0EBF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1.四首经济建设项目。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积极开展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首店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”“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首发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及演艺赛事活动。推进金凤万达焕新・品牌新引力行动项目、阅彩商业首发经济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集聚区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建设项目等。</w:t>
            </w:r>
          </w:p>
          <w:p w14:paraId="258D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.创新业态赋能项目。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培育多元消费业态，发展银发产业相关消费品类，布局女性、亲子、宠物等新兴消费赛道。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支持刘三朵非遗+多业态融合消费新场景打造等项目。</w:t>
            </w:r>
          </w:p>
          <w:p w14:paraId="3BD3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.市集消费场景项目。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推进市集消费提级项目，实施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金凤创市者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培育扶持，联动商户外摆促消费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，支持祥安巷迷你市集、良田镇集市、丰登大集等项目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01C1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.商文旅农体酒融合项目。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推进银川花博园商文旅体复合型消费空间、览山・商文旅融合沉浸式新消费场景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、城市之眼•人文会客厅及西夏苑•酒标集等项目。</w:t>
            </w:r>
          </w:p>
          <w:p w14:paraId="2805E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仿宋_GB2312" w:hAnsi="仿宋_GB2312" w:cs="仿宋_GB2312" w:eastAsiaTheme="minorEastAsia"/>
                <w:b w:val="0"/>
                <w:bCs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 w:eastAsiaTheme="minorEastAsia"/>
                <w:b/>
                <w:bCs w:val="0"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  <w:t>5.多元服务消费场景项目。</w:t>
            </w:r>
            <w:r>
              <w:rPr>
                <w:rFonts w:hint="eastAsia" w:ascii="仿宋_GB2312" w:hAnsi="仿宋_GB2312" w:cs="仿宋_GB2312" w:eastAsiaTheme="minorEastAsia"/>
                <w:b w:val="0"/>
                <w:bCs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  <w:t>推进新百连超AI新质零售胖改项目、阅彩全场景品质消费生态圈、山下有牛新质赋能乳品文化新场景体验中心项目。</w:t>
            </w:r>
          </w:p>
        </w:tc>
      </w:tr>
    </w:tbl>
    <w:p w14:paraId="427F02E5">
      <w:pPr>
        <w:rPr>
          <w:rFonts w:hint="eastAsia"/>
          <w:color w:val="auto"/>
          <w:highlight w:val="none"/>
          <w:lang w:val="en-US" w:eastAsia="zh-CN"/>
        </w:rPr>
      </w:pPr>
    </w:p>
    <w:p w14:paraId="2D9FCCC0">
      <w:pPr>
        <w:pStyle w:val="3"/>
        <w:bidi w:val="0"/>
        <w:rPr>
          <w:rFonts w:hint="default"/>
          <w:color w:val="auto"/>
          <w:highlight w:val="none"/>
          <w:lang w:val="en-US" w:eastAsia="zh-CN"/>
        </w:rPr>
      </w:pPr>
      <w:bookmarkStart w:id="46" w:name="_Toc21175"/>
      <w:bookmarkStart w:id="47" w:name="_Toc6574"/>
      <w:bookmarkStart w:id="48" w:name="_Toc3218"/>
      <w:bookmarkStart w:id="49" w:name="_Toc19268"/>
      <w:r>
        <w:rPr>
          <w:rFonts w:hint="eastAsia"/>
          <w:color w:val="auto"/>
          <w:highlight w:val="none"/>
          <w:lang w:val="en-US" w:eastAsia="zh-CN"/>
        </w:rPr>
        <w:t>第三节 做强会展经济，打造区域会展服务平台</w:t>
      </w:r>
      <w:bookmarkEnd w:id="46"/>
      <w:bookmarkEnd w:id="47"/>
    </w:p>
    <w:p w14:paraId="2C92D162">
      <w:pPr>
        <w:bidi w:val="0"/>
        <w:rPr>
          <w:rFonts w:hint="eastAsia" w:cs="Times New Roman"/>
          <w:color w:val="auto"/>
          <w:highlight w:val="none"/>
          <w:lang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主动服务高能级会展。</w:t>
      </w:r>
      <w:r>
        <w:rPr>
          <w:rFonts w:hint="eastAsia"/>
          <w:color w:val="auto"/>
          <w:highlight w:val="none"/>
        </w:rPr>
        <w:t>借势国际品牌展会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高质量</w:t>
      </w:r>
      <w:r>
        <w:rPr>
          <w:rFonts w:hint="eastAsia"/>
          <w:color w:val="auto"/>
          <w:highlight w:val="none"/>
          <w:lang w:val="en-US" w:eastAsia="zh-CN"/>
        </w:rPr>
        <w:t>服务</w:t>
      </w:r>
      <w:r>
        <w:rPr>
          <w:rFonts w:hint="eastAsia"/>
          <w:color w:val="auto"/>
          <w:highlight w:val="none"/>
        </w:rPr>
        <w:t>中阿博览会、葡萄酒博览会，围绕特色产业开发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跨境电商+保税展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新零售；招引全国性专业展会，争取国家级品牌展会落地；联动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一带一路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沿线协会，举办国际性会展对接活动。</w:t>
      </w:r>
    </w:p>
    <w:p w14:paraId="41B33BF5">
      <w:pPr>
        <w:bidi w:val="0"/>
        <w:rPr>
          <w:rFonts w:hint="eastAsia"/>
          <w:color w:val="auto"/>
          <w:highlight w:val="none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培育消费类展会新场景。</w:t>
      </w:r>
      <w:r>
        <w:rPr>
          <w:rFonts w:hint="eastAsia"/>
          <w:color w:val="auto"/>
          <w:highlight w:val="none"/>
        </w:rPr>
        <w:t>做强传统消费会展，</w:t>
      </w:r>
      <w:r>
        <w:rPr>
          <w:rFonts w:hint="eastAsia"/>
          <w:color w:val="auto"/>
          <w:highlight w:val="none"/>
          <w:lang w:val="en-US" w:eastAsia="zh-CN"/>
        </w:rPr>
        <w:t>强化</w:t>
      </w:r>
      <w:r>
        <w:rPr>
          <w:rFonts w:hint="eastAsia"/>
          <w:color w:val="auto"/>
          <w:highlight w:val="none"/>
        </w:rPr>
        <w:t>新能源汽车</w:t>
      </w:r>
      <w:r>
        <w:rPr>
          <w:rFonts w:hint="eastAsia"/>
          <w:color w:val="auto"/>
          <w:highlight w:val="none"/>
          <w:lang w:eastAsia="zh-CN"/>
        </w:rPr>
        <w:t>、智能家居</w:t>
      </w:r>
      <w:r>
        <w:rPr>
          <w:rFonts w:hint="eastAsia"/>
          <w:color w:val="auto"/>
          <w:highlight w:val="none"/>
        </w:rPr>
        <w:t>等重点展会</w:t>
      </w:r>
      <w:r>
        <w:rPr>
          <w:rFonts w:hint="eastAsia"/>
          <w:color w:val="auto"/>
          <w:highlight w:val="none"/>
          <w:lang w:val="en-US" w:eastAsia="zh-CN"/>
        </w:rPr>
        <w:t>服务</w:t>
      </w:r>
      <w:r>
        <w:rPr>
          <w:rFonts w:hint="eastAsia"/>
          <w:color w:val="auto"/>
          <w:highlight w:val="none"/>
        </w:rPr>
        <w:t>；创新移动展、快闪展业态，打造商圈常态化展销平台；探索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展会+内外贸一体化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路径，争取</w:t>
      </w:r>
      <w:r>
        <w:rPr>
          <w:rFonts w:hint="eastAsia"/>
          <w:color w:val="auto"/>
          <w:highlight w:val="none"/>
          <w:lang w:eastAsia="zh-CN"/>
        </w:rPr>
        <w:t>举办主题</w:t>
      </w:r>
      <w:r>
        <w:rPr>
          <w:rFonts w:hint="eastAsia"/>
          <w:color w:val="auto"/>
          <w:highlight w:val="none"/>
        </w:rPr>
        <w:t>活动，深化跨境电商与会展联动发展。</w:t>
      </w:r>
    </w:p>
    <w:p w14:paraId="7B2DB584">
      <w:pP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推进“会展+”融合发展。</w:t>
      </w:r>
      <w:r>
        <w:rPr>
          <w:color w:val="auto"/>
          <w:highlight w:val="none"/>
        </w:rPr>
        <w:t>实施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会展+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融合发展战略，培育票根经济，联动商圈景区推出专属消费优惠，转化会展流量、融合多业态延伸消费链条；推进会展数字化转型，构建线上线下联动消费模式；深化产展互促，完善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color w:val="auto"/>
          <w:highlight w:val="none"/>
        </w:rPr>
        <w:t>一链一展、一业一会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color w:val="auto"/>
          <w:highlight w:val="none"/>
        </w:rPr>
        <w:t>布局，赋能产业链提质增效</w:t>
      </w:r>
      <w: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  <w:lang w:val="en-US" w:eastAsia="zh-CN"/>
        </w:rPr>
        <w:t>。</w:t>
      </w:r>
    </w:p>
    <w:p w14:paraId="577D911B">
      <w:pPr>
        <w:ind w:firstLine="640"/>
        <w:rPr>
          <w:rFonts w:hint="eastAsia"/>
          <w:color w:val="auto"/>
          <w:highlight w:val="none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培育会展产业集群。</w:t>
      </w:r>
      <w: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  <w:lang w:val="en-US" w:eastAsia="zh-CN"/>
        </w:rPr>
        <w:t>聚焦会展策划、创意设计等产业链关键环节，招引上下游配套企业，做强“悦展金凤”品牌，打造区域会展高地；完善交通食宿保障，优化宣传与志愿服务，提升参展体验，推动展会提质增效，持续放大会展经济的消费拉动效应，助力城市能级稳步提升</w:t>
      </w:r>
      <w:r>
        <w:rPr>
          <w:rFonts w:hint="eastAsia"/>
          <w:color w:val="auto"/>
          <w:highlight w:val="none"/>
        </w:rPr>
        <w:t>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533A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09521946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楷体" w:cs="仿宋_GB2312"/>
                <w:b w:val="0"/>
                <w:bCs/>
                <w:color w:val="auto"/>
                <w:kern w:val="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50" w:name="_Toc7349"/>
            <w:bookmarkStart w:id="51" w:name="_Toc11070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专栏3 会展经济建设工程</w:t>
            </w:r>
            <w:bookmarkEnd w:id="50"/>
            <w:bookmarkEnd w:id="51"/>
          </w:p>
        </w:tc>
      </w:tr>
      <w:tr w14:paraId="1B19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0237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1.发展壮大会展经济。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积极引进中国国际工业博览会、中国国际数字经济博览会、中国体育文化博览会等国家级展会。</w:t>
            </w:r>
          </w:p>
          <w:p w14:paraId="1A4A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2.银川国际会展中心设施提升改造优化场景项目。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预计投资1.3亿元，总建筑面积80618㎡，涉及屋顶、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地面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改造、停车场改扩建、消防系统升级等。</w:t>
            </w:r>
          </w:p>
        </w:tc>
      </w:tr>
    </w:tbl>
    <w:p w14:paraId="3123743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highlight w:val="none"/>
          <w:lang w:val="en-US" w:eastAsia="zh-CN"/>
        </w:rPr>
      </w:pPr>
      <w:bookmarkStart w:id="52" w:name="_Toc21473"/>
      <w:bookmarkStart w:id="53" w:name="_Toc8890"/>
      <w:r>
        <w:rPr>
          <w:rFonts w:hint="eastAsia"/>
          <w:color w:val="auto"/>
          <w:highlight w:val="none"/>
          <w:lang w:val="en-US" w:eastAsia="zh-CN"/>
        </w:rPr>
        <w:t>第四节 加快电商创新发展，拓展消费发展格局</w:t>
      </w:r>
      <w:bookmarkEnd w:id="52"/>
      <w:bookmarkEnd w:id="53"/>
    </w:p>
    <w:p w14:paraId="3D9F6B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highlight w:val="none"/>
          <w:lang w:val="en-US" w:eastAsia="zh-CN"/>
        </w:rPr>
      </w:pPr>
      <w:bookmarkStart w:id="54" w:name="_Toc12106"/>
      <w:r>
        <w:rPr>
          <w:rFonts w:hint="eastAsia" w:ascii="楷体" w:hAnsi="楷体" w:eastAsia="楷体" w:cs="楷体"/>
          <w:b/>
          <w:bCs w:val="0"/>
          <w:color w:val="auto"/>
          <w:highlight w:val="none"/>
          <w:lang w:val="en-US" w:eastAsia="zh-CN"/>
        </w:rPr>
        <w:t>夯实实物商品网络零售</w:t>
      </w:r>
      <w:bookmarkEnd w:id="54"/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发展壮大3C、智能家电线上消费，出台专项补贴扶持线上促销、新品首发与家电换新；搭建线上选购、线下体验融合场景，培育直播电商示范主体；联动金融机构推出零售积分机制，积分可兑换商品、抵扣相关服务费。</w:t>
      </w:r>
    </w:p>
    <w:p w14:paraId="507879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highlight w:val="none"/>
          <w:lang w:val="en-US" w:eastAsia="zh-CN"/>
        </w:rPr>
        <w:t>培育壮大即时零售。</w:t>
      </w:r>
      <w:r>
        <w:rPr>
          <w:rFonts w:hint="eastAsia"/>
          <w:color w:val="auto"/>
          <w:highlight w:val="none"/>
          <w:lang w:val="en-US" w:eastAsia="zh-CN"/>
        </w:rPr>
        <w:t>依托区位消费优势搭建即时零售产业体系，推广前店后仓等融合业态；打造30分钟配送示范区、布设网点实现15分钟便民配送，布局前置仓；推进商户数字化改造，搭建监测平台，打造区域即时零售标杆。</w:t>
      </w:r>
    </w:p>
    <w:p w14:paraId="70EFFA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highlight w:val="none"/>
          <w:lang w:val="en-US" w:eastAsia="zh-CN"/>
        </w:rPr>
        <w:t>大力发展服务型网络零售。</w:t>
      </w:r>
      <w:r>
        <w:rPr>
          <w:rFonts w:hint="eastAsia"/>
          <w:color w:val="auto"/>
          <w:highlight w:val="none"/>
          <w:lang w:val="en-US" w:eastAsia="zh-CN"/>
        </w:rPr>
        <w:t>培育多领域特色电商主体，推进服务业数字化转型。落地银发电商扶持政策，打造示范街区和“金凤孝心好礼”，开设电商课堂提升老人线上消费能力，融合电商与康养文旅，打造银发电商标杆。</w:t>
      </w:r>
    </w:p>
    <w:p w14:paraId="0934D2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highlight w:val="none"/>
          <w:lang w:val="en-US" w:eastAsia="zh-CN"/>
        </w:rPr>
        <w:t>引导农村电商向纵深发展。</w:t>
      </w:r>
      <w:r>
        <w:rPr>
          <w:rFonts w:hint="eastAsia" w:ascii="仿宋_GB2312" w:hAnsi="仿宋_GB2312" w:cs="仿宋_GB2312"/>
          <w:color w:val="auto"/>
          <w:highlight w:val="none"/>
        </w:rPr>
        <w:t>实施数商兴农，建设智慧冷链枢纽与农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产品</w:t>
      </w:r>
      <w:r>
        <w:rPr>
          <w:rFonts w:hint="eastAsia" w:ascii="仿宋_GB2312" w:hAnsi="仿宋_GB2312" w:cs="仿宋_GB2312"/>
          <w:color w:val="auto"/>
          <w:highlight w:val="none"/>
        </w:rPr>
        <w:t>大数据平台，拓展农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产品</w:t>
      </w:r>
      <w:r>
        <w:rPr>
          <w:rFonts w:hint="eastAsia" w:ascii="仿宋_GB2312" w:hAnsi="仿宋_GB2312" w:cs="仿宋_GB2312"/>
          <w:color w:val="auto"/>
          <w:highlight w:val="none"/>
        </w:rPr>
        <w:t>直播场景；设立农村电商专项基金，培育电商人才，打通城乡农产品流通渠道。</w:t>
      </w:r>
    </w:p>
    <w:p w14:paraId="01B5D3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highlight w:val="none"/>
          <w:lang w:val="en-US" w:eastAsia="zh-CN"/>
        </w:rPr>
        <w:t>促进新型电商发展。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大力发展各类电商新业态，搭建公共直播间、打造网红直播基地，集聚产业链资源；联动多领域孵化本土品牌，系统化培育带货主播；运用AI、VR等技术打造沉浸式消费场景，优化线上消费体验。</w:t>
      </w:r>
    </w:p>
    <w:p w14:paraId="413AE2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highlight w:val="none"/>
          <w:lang w:val="en-US" w:eastAsia="zh-CN"/>
        </w:rPr>
        <w:t>健全电商梯度培育体系</w:t>
      </w: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制定电商头部企业认定标准，分级培育优质网商，发挥示范作用；依托头部企业整合供应链，带动中小商户与农户协同发展；搭建综合电商服务及供需对接平台，完善全链条配套，构建大中小主体融通的电商产业生态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0FFC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28201458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楷体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55" w:name="_Toc15270"/>
            <w:bookmarkStart w:id="56" w:name="_Toc23482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专栏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4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创新电商发展建设工程</w:t>
            </w:r>
            <w:bookmarkEnd w:id="55"/>
            <w:bookmarkEnd w:id="56"/>
          </w:p>
        </w:tc>
      </w:tr>
      <w:tr w14:paraId="1E64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183E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培育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“头雁”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与夯实基础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。重点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《金凤区电商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头雁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企业认定标准》，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建立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“头雁”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网商企业培育库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72BC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宁夏（金凤）数字电商产业基地项目</w:t>
            </w: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预计投资1000万元，建设AI数字直播体系及直播物理空间。</w:t>
            </w:r>
          </w:p>
          <w:p w14:paraId="7B14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3.即时零售项目。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预计投资5000万元，在金凤万达打造即时配送服务。</w:t>
            </w:r>
          </w:p>
        </w:tc>
      </w:tr>
    </w:tbl>
    <w:p w14:paraId="6B0D7A56">
      <w:pPr>
        <w:pStyle w:val="3"/>
        <w:bidi w:val="0"/>
        <w:rPr>
          <w:rFonts w:hint="eastAsia"/>
          <w:color w:val="auto"/>
          <w:highlight w:val="none"/>
          <w:lang w:val="en-US" w:eastAsia="zh-CN"/>
        </w:rPr>
      </w:pPr>
      <w:bookmarkStart w:id="57" w:name="_Toc18449"/>
      <w:bookmarkStart w:id="58" w:name="_Toc25575"/>
      <w:bookmarkStart w:id="59" w:name="_Toc5325"/>
      <w:r>
        <w:rPr>
          <w:rFonts w:hint="eastAsia"/>
          <w:color w:val="auto"/>
          <w:highlight w:val="none"/>
          <w:lang w:val="en-US" w:eastAsia="zh-CN"/>
        </w:rPr>
        <w:t>第五节 培育新兴贸易，深化内外联动开放格局</w:t>
      </w:r>
      <w:bookmarkEnd w:id="57"/>
      <w:bookmarkEnd w:id="58"/>
    </w:p>
    <w:p w14:paraId="1108C4BB">
      <w:pPr>
        <w:keepNext w:val="0"/>
        <w:keepLines w:val="0"/>
        <w:widowControl/>
        <w:suppressLineNumbers w:val="0"/>
        <w:jc w:val="left"/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积极发展跨境电子商务。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深化贸产融合，对接主流跨境平台赋能产业带，孵化跨境特色产品；培育链主企业，推动企业转型跨境工贸一体，布局独立站等新渠道；共建海外仓与服务站，抱团降低跨境物流仓储成本，助力品牌出海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555D7253">
      <w:pPr>
        <w:bidi w:val="0"/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扩大货物贸易出口。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依托外贸大厦、中欧班列展销中心搭建内外贸体系，壮大跨境电商集群，扩大特色农产品出口；依托中阿博览会发展保税展销等业态，培育外贸龙头；完善一站式涉外服务，联动商圈拓宽内销渠道。</w:t>
      </w:r>
    </w:p>
    <w:p w14:paraId="369D0241">
      <w:pPr>
        <w:bidi w:val="0"/>
        <w:rPr>
          <w:rFonts w:hint="eastAsia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探索发展服务贸易。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出台配套政策培育知识密集型服务贸易，深耕语言、文创领域打造本土品牌，组建产业联盟助力企业出海；实施专项招商引进优质服务商，依托产业园集聚科技、法务等业态，完善全链条专业服务体系。</w:t>
      </w:r>
    </w:p>
    <w:p w14:paraId="44921942">
      <w:pPr>
        <w:bidi w:val="0"/>
        <w:rPr>
          <w:rFonts w:hint="eastAsia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健全免退税生态。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抢抓对外发展机遇发展免退税经济，拓宽境外支付场景、丰富免税商品；优化离境退税服务，商圈设退税驿站，实现退税全流程线上办理；扶持商户申办免税资质，扩容退税网点，完善入境消费配套。</w:t>
      </w:r>
    </w:p>
    <w:p w14:paraId="4186F889">
      <w:pPr>
        <w:bidi w:val="0"/>
        <w:jc w:val="both"/>
        <w:rPr>
          <w:rFonts w:hint="eastAsia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构筑服务开放枢纽。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高标准建设宁夏外贸大厦，打造外向型一站式服务枢纽；联动跨境电商打造国际消费带与24小时活力消费圈，引入国际首店，推动外贸优品内销，实现外贸与消费互促提质。</w:t>
      </w:r>
    </w:p>
    <w:p w14:paraId="43213087">
      <w:pPr>
        <w:bidi w:val="0"/>
        <w:rPr>
          <w:rFonts w:hint="eastAsia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稳定扩大利用外资规模。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围绕RCEP及“一带一路”沿线国家开展外资招商，重点招引多领域外资企业；依托外贸大厦等载体集聚外资，借助各类展会平台拓宽外资合作渠道。</w:t>
      </w:r>
    </w:p>
    <w:p w14:paraId="24450D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到2030年，</w:t>
      </w:r>
      <w:r>
        <w:rPr>
          <w:rFonts w:hint="eastAsia"/>
          <w:color w:val="auto"/>
          <w:highlight w:val="none"/>
          <w:lang w:val="en-US" w:eastAsia="zh-CN"/>
        </w:rPr>
        <w:t>全区外贸进出口总额突破34亿元。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1217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466CD1BB">
            <w:pPr>
              <w:bidi w:val="0"/>
              <w:ind w:left="0" w:leftChars="0" w:firstLine="0" w:firstLineChars="0"/>
              <w:jc w:val="center"/>
              <w:rPr>
                <w:rFonts w:hint="default" w:ascii="仿宋_GB2312" w:hAnsi="仿宋_GB2312" w:eastAsia="楷体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专栏</w:t>
            </w:r>
            <w:r>
              <w:rPr>
                <w:rFonts w:hint="eastAsia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培育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发展对外开放新动能</w:t>
            </w:r>
          </w:p>
        </w:tc>
      </w:tr>
      <w:tr w14:paraId="12F6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3E96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1.跨境电商直播项目。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预计投资500万元，打造金凤区跨境直播电商与数字人基地。</w:t>
            </w:r>
          </w:p>
          <w:p w14:paraId="5CC8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2.二手车海外出口贸易项目。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有效利用中阿博览会契机，开展二手车出海业务，并推动建立二手车检测技术标准（含出海标准）。</w:t>
            </w:r>
          </w:p>
        </w:tc>
      </w:tr>
      <w:bookmarkEnd w:id="59"/>
    </w:tbl>
    <w:p w14:paraId="3AEC9E4A">
      <w:pPr>
        <w:keepNext/>
        <w:keepLines/>
        <w:widowControl w:val="0"/>
        <w:bidi w:val="0"/>
        <w:spacing w:line="560" w:lineRule="exact"/>
        <w:ind w:firstLine="0" w:firstLineChars="0"/>
        <w:jc w:val="center"/>
        <w:outlineLvl w:val="1"/>
        <w:rPr>
          <w:rFonts w:hint="eastAsia" w:ascii="Times New Roman" w:hAnsi="Times New Roman" w:eastAsia="黑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</w:pPr>
      <w:bookmarkStart w:id="60" w:name="_Toc4404"/>
      <w:bookmarkStart w:id="61" w:name="_Toc32455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w:t>第</w:t>
      </w:r>
      <w:r>
        <w:rPr>
          <w:rFonts w:hint="eastAsia" w:eastAsia="黑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w:t>节</w:t>
      </w:r>
      <w:r>
        <w:rPr>
          <w:rFonts w:hint="eastAsia" w:eastAsia="黑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w:t>优化商业网点布局，构建特色商业体系</w:t>
      </w:r>
      <w:bookmarkEnd w:id="60"/>
      <w:bookmarkEnd w:id="61"/>
    </w:p>
    <w:p w14:paraId="780E9743">
      <w:pPr>
        <w:bidi w:val="0"/>
        <w:jc w:val="both"/>
        <w:rPr>
          <w:rFonts w:hint="default" w:ascii="仿宋_GB2312" w:hAnsi="仿宋_GB2312" w:cs="仿宋_GB2312"/>
          <w:color w:val="auto"/>
          <w:highlight w:val="none"/>
          <w:lang w:val="en-US" w:eastAsia="zh-CN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推动商圈差异化提质升级。</w:t>
      </w:r>
      <w:r>
        <w:rPr>
          <w:rFonts w:hint="eastAsia" w:cs="Times New Roman"/>
          <w:color w:val="auto"/>
          <w:highlight w:val="none"/>
          <w:lang w:val="en-US" w:eastAsia="zh-CN"/>
        </w:rPr>
        <w:t>强化各大商圈差异化发展提质：阅彩城发展首店、夜间经济；金凤万达做潮流首店首发；悠阅城主打青年家庭消费；悦海新天地升级亲子业态；新华联广场发展枢纽文旅；CCpark打造亲子微度假；星嘉中心布局二次元、青年亚文化沉浸式业态。同步推进商业数字化改造，落地无人零售、智能导购、云逛街、AR互动等数字消费场景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。</w:t>
      </w:r>
    </w:p>
    <w:p w14:paraId="3A3ED9F2">
      <w:pPr>
        <w:bidi w:val="0"/>
        <w:rPr>
          <w:rFonts w:hint="eastAsia" w:eastAsia="仿宋_GB2312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推进一刻钟便民生活圈扩围升级。</w:t>
      </w:r>
      <w:r>
        <w:rPr>
          <w:rFonts w:hint="eastAsia" w:cs="Times New Roman"/>
          <w:color w:val="auto"/>
          <w:highlight w:val="none"/>
          <w:lang w:val="en-US" w:eastAsia="zh-CN"/>
        </w:rPr>
        <w:t>以枫林湾小镇为样板，分区布局社区商业，补齐养老托育、便民维修等基础业态，打造多类型一刻钟便民生活圈；规范外摆、整合刚需服务建便民驿站，构建普惠便民生活体系。</w:t>
      </w:r>
    </w:p>
    <w:p w14:paraId="4E45C4C2">
      <w:pPr>
        <w:keepNext w:val="0"/>
        <w:keepLines w:val="0"/>
        <w:widowControl/>
        <w:suppressLineNumbers w:val="0"/>
        <w:jc w:val="left"/>
        <w:rPr>
          <w:rFonts w:hint="eastAsia" w:cs="Times New Roman"/>
          <w:color w:val="auto"/>
          <w:highlight w:val="none"/>
          <w:lang w:val="en-US" w:eastAsia="zh-CN"/>
        </w:rPr>
      </w:pPr>
      <w:r>
        <w:rPr>
          <w:rFonts w:hint="default" w:eastAsia="楷体" w:cs="Times New Roman"/>
          <w:b/>
          <w:bCs/>
          <w:color w:val="auto"/>
          <w:highlight w:val="none"/>
          <w:lang w:val="en-US" w:eastAsia="zh-CN"/>
        </w:rPr>
        <w:t>培育地标特色商业街区</w:t>
      </w: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。</w:t>
      </w:r>
      <w:r>
        <w:rPr>
          <w:rFonts w:hint="eastAsia" w:cs="Times New Roman"/>
          <w:color w:val="auto"/>
          <w:highlight w:val="none"/>
          <w:lang w:val="en-US" w:eastAsia="zh-CN"/>
        </w:rPr>
        <w:t>打造差异化特色商业街区，坚持一街一特色，推动业态、风貌、文化融合；提质现有街区，打造祥安巷市井休闲街区；依托湖景资源布局滨水商业，构建生态休闲消费新场景。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6CF0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1737F5CC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楷体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62" w:name="_Toc29621"/>
            <w:bookmarkStart w:id="63" w:name="_Toc28437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专栏</w:t>
            </w:r>
            <w:r>
              <w:rPr>
                <w:rFonts w:hint="eastAsia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优化商业</w:t>
            </w:r>
            <w:r>
              <w:rPr>
                <w:rFonts w:hint="eastAsia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体系建设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工程</w:t>
            </w:r>
            <w:bookmarkEnd w:id="62"/>
            <w:bookmarkEnd w:id="63"/>
          </w:p>
        </w:tc>
      </w:tr>
      <w:tr w14:paraId="0BED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13B1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1.打造城市级核心商圈。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推动七大商圈差异化发展运营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674C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.完善社区级便民商业。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全面推进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一刻钟便民生活圈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建设。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重点支持金凤区“菜篮子”便民服务提质升级工程项目。</w:t>
            </w:r>
          </w:p>
          <w:p w14:paraId="2DE0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.塑造特色商业街区矩阵。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支持建设</w:t>
            </w:r>
            <w:r>
              <w:rPr>
                <w:rFonts w:hint="default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祥安巷市井休闲街区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，重点推进七子连湖海绵湿地公园、览山涧滨水商业街等项目建设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</w:tbl>
    <w:p w14:paraId="4E51793C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auto"/>
          <w:highlight w:val="none"/>
          <w:lang w:val="en-US" w:eastAsia="zh-CN"/>
        </w:rPr>
      </w:pPr>
    </w:p>
    <w:p w14:paraId="0EC65E60">
      <w:pPr>
        <w:pStyle w:val="3"/>
        <w:bidi w:val="0"/>
        <w:rPr>
          <w:rFonts w:hint="default"/>
          <w:color w:val="auto"/>
          <w:highlight w:val="none"/>
          <w:lang w:val="en-US" w:eastAsia="zh-CN"/>
        </w:rPr>
      </w:pPr>
      <w:bookmarkStart w:id="64" w:name="_Toc26972"/>
      <w:bookmarkStart w:id="65" w:name="_Toc28131"/>
      <w:r>
        <w:rPr>
          <w:rFonts w:hint="eastAsia"/>
          <w:color w:val="auto"/>
          <w:highlight w:val="none"/>
          <w:lang w:val="en-US" w:eastAsia="zh-CN"/>
        </w:rPr>
        <w:t>第七节 增强产业韧性，构建安全高效流通体系</w:t>
      </w:r>
      <w:bookmarkEnd w:id="64"/>
      <w:bookmarkEnd w:id="65"/>
    </w:p>
    <w:p w14:paraId="22790991">
      <w:pPr>
        <w:bidi w:val="0"/>
        <w:rPr>
          <w:rFonts w:hint="eastAsia"/>
          <w:color w:val="auto"/>
          <w:highlight w:val="none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加强现代商贸物流体系建设。</w:t>
      </w:r>
      <w:r>
        <w:rPr>
          <w:rFonts w:hint="eastAsia"/>
          <w:color w:val="auto"/>
          <w:highlight w:val="none"/>
          <w:lang w:val="en-US" w:eastAsia="zh-CN"/>
        </w:rPr>
        <w:t>搭建公铁物流联动商贸物流枢纽，推行统仓共配，布局智能仓储与低空物流；完善城乡配送及全域冷链网点，发展生鲜冷链配送，打通农产品城乡流通链路。</w:t>
      </w:r>
    </w:p>
    <w:p w14:paraId="0D215C6C">
      <w:pPr>
        <w:bidi w:val="0"/>
        <w:rPr>
          <w:rFonts w:hint="eastAsia" w:cstheme="minorBidi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优化城乡商业网点布局。</w:t>
      </w:r>
      <w:r>
        <w:rPr>
          <w:color w:val="auto"/>
          <w:highlight w:val="none"/>
        </w:rPr>
        <w:t>完善县乡村三级商贸网点，升级乡镇集市与村</w:t>
      </w:r>
      <w:r>
        <w:rPr>
          <w:color w:val="auto"/>
          <w:highlight w:val="none"/>
        </w:rPr>
        <w:t>级商店；改造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color w:val="auto"/>
          <w:highlight w:val="none"/>
        </w:rPr>
        <w:t>座加油站，在</w:t>
      </w:r>
      <w:r>
        <w:rPr>
          <w:rFonts w:hint="eastAsia"/>
          <w:color w:val="auto"/>
          <w:highlight w:val="none"/>
          <w:lang w:val="en-US" w:eastAsia="zh-CN"/>
        </w:rPr>
        <w:t>中轴</w:t>
      </w:r>
      <w:r>
        <w:rPr>
          <w:color w:val="auto"/>
          <w:highlight w:val="none"/>
        </w:rPr>
        <w:t>小镇</w:t>
      </w:r>
      <w:r>
        <w:rPr>
          <w:rFonts w:hint="eastAsia"/>
          <w:color w:val="auto"/>
          <w:highlight w:val="none"/>
          <w:lang w:eastAsia="zh-CN"/>
        </w:rPr>
        <w:t>建设</w:t>
      </w:r>
      <w:r>
        <w:rPr>
          <w:color w:val="auto"/>
          <w:highlight w:val="none"/>
        </w:rPr>
        <w:t>标准化二手车市场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二手车经销网点</w:t>
      </w:r>
      <w:r>
        <w:rPr>
          <w:color w:val="auto"/>
          <w:highlight w:val="none"/>
        </w:rPr>
        <w:t>；布局</w:t>
      </w:r>
      <w:r>
        <w:rPr>
          <w:color w:val="auto"/>
          <w:highlight w:val="none"/>
        </w:rPr>
        <w:t>新能源汽车拆解、动力电池回收网点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260458EA">
      <w:pPr>
        <w:bidi w:val="0"/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推进传统专业市场改造升级</w:t>
      </w:r>
      <w:r>
        <w:rPr>
          <w:rFonts w:hint="eastAsia" w:ascii="楷体" w:hAnsi="楷体" w:eastAsia="楷体" w:cs="楷体"/>
          <w:b/>
          <w:bCs/>
          <w:color w:val="auto"/>
          <w:highlight w:val="none"/>
          <w:lang w:eastAsia="zh-CN"/>
        </w:rPr>
        <w:t>。</w:t>
      </w:r>
      <w:r>
        <w:rPr>
          <w:color w:val="auto"/>
          <w:highlight w:val="none"/>
        </w:rPr>
        <w:t>实施专业市场升级，培育建材、汽车、农产品市场；建设智慧农贸市场，做强金凤汽车城，推动二手车经营规模化、品牌化，引导经营模式由传统经纪</w:t>
      </w:r>
      <w:r>
        <w:rPr>
          <w:rFonts w:hint="eastAsia"/>
          <w:color w:val="auto"/>
          <w:highlight w:val="none"/>
          <w:lang w:eastAsia="zh-CN"/>
        </w:rPr>
        <w:t>转向</w:t>
      </w:r>
      <w:r>
        <w:rPr>
          <w:color w:val="auto"/>
          <w:highlight w:val="none"/>
        </w:rPr>
        <w:t>经销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4DCB9C6F">
      <w:pPr>
        <w:bidi w:val="0"/>
        <w:rPr>
          <w:color w:val="auto"/>
          <w:highlight w:val="none"/>
        </w:rPr>
      </w:pPr>
      <w:bookmarkStart w:id="66" w:name="_Toc4425"/>
      <w:r>
        <w:rPr>
          <w:rFonts w:hint="eastAsia" w:ascii="楷体" w:hAnsi="楷体" w:eastAsia="楷体" w:cs="楷体"/>
          <w:b/>
          <w:bCs/>
          <w:color w:val="auto"/>
          <w:highlight w:val="none"/>
        </w:rPr>
        <w:t>推动行业流通市场高质量发展</w:t>
      </w:r>
      <w:bookmarkEnd w:id="66"/>
      <w:r>
        <w:rPr>
          <w:rFonts w:hint="eastAsia" w:ascii="楷体" w:hAnsi="楷体" w:eastAsia="楷体" w:cs="楷体"/>
          <w:b/>
          <w:bCs/>
          <w:color w:val="auto"/>
          <w:highlight w:val="none"/>
          <w:lang w:eastAsia="zh-CN"/>
        </w:rPr>
        <w:t>。</w:t>
      </w:r>
      <w:r>
        <w:rPr>
          <w:color w:val="auto"/>
          <w:highlight w:val="none"/>
          <w:lang w:val="en-US" w:eastAsia="zh-CN"/>
        </w:rPr>
        <w:t>推进回收与成品油管理提质</w:t>
      </w:r>
      <w:r>
        <w:rPr>
          <w:rFonts w:hint="eastAsia"/>
          <w:color w:val="auto"/>
          <w:highlight w:val="none"/>
          <w:lang w:val="en-US" w:eastAsia="zh-CN"/>
        </w:rPr>
        <w:t>，</w:t>
      </w:r>
      <w:r>
        <w:rPr>
          <w:color w:val="auto"/>
          <w:highlight w:val="none"/>
          <w:lang w:val="en-US" w:eastAsia="zh-CN"/>
        </w:rPr>
        <w:t>落实两网融合，优化回收网点，完善各类再生资源回收链条；规范油站准入监管，升级绿色智能加油站，守住保供、安全、环保底线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6A828555">
      <w:pPr>
        <w:bidi w:val="0"/>
        <w:rPr>
          <w:rFonts w:hint="eastAsia"/>
          <w:color w:val="auto"/>
          <w:highlight w:val="none"/>
        </w:rPr>
      </w:pPr>
      <w:r>
        <w:rPr>
          <w:rFonts w:hint="eastAsia" w:eastAsia="楷体" w:cs="Times New Roman"/>
          <w:b/>
          <w:bCs/>
          <w:color w:val="auto"/>
          <w:highlight w:val="none"/>
          <w:lang w:val="en-US" w:eastAsia="zh-CN"/>
        </w:rPr>
        <w:t>健全应急保供体系。</w:t>
      </w:r>
      <w:r>
        <w:rPr>
          <w:rFonts w:hint="eastAsia"/>
          <w:color w:val="auto"/>
          <w:highlight w:val="none"/>
          <w:lang w:val="en-US" w:eastAsia="zh-CN"/>
        </w:rPr>
        <w:t>结合人口动态优化生活物资储备，完善调运机制并增补特色民生物资；扩充保供企业形成层级保供梯队，强化市场价格执法，筑牢民生商品供给保障</w:t>
      </w:r>
      <w:r>
        <w:rPr>
          <w:rFonts w:hint="eastAsia"/>
          <w:color w:val="auto"/>
          <w:highlight w:val="none"/>
        </w:rPr>
        <w:t>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3C8B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39B23979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楷体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bookmarkStart w:id="67" w:name="_Toc3382"/>
            <w:bookmarkStart w:id="68" w:name="_Toc10784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专栏7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现代流通体系建设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工程</w:t>
            </w:r>
            <w:bookmarkEnd w:id="67"/>
            <w:bookmarkEnd w:id="68"/>
          </w:p>
        </w:tc>
      </w:tr>
      <w:tr w14:paraId="3889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3497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完善城乡高效配送网络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发展“生鲜电商+冷链宅配”等新模式。深化农村产销对接，推动农产品上行与工业品下行。重点支持民谣集冷链物流中心项目落地。</w:t>
            </w:r>
          </w:p>
          <w:p w14:paraId="4C70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推动商品市场现代化转型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推动传统专业市场向展贸化、体验式转型。支持商贸企业数字化改造。做强汽车流通等特色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专业市场。</w:t>
            </w:r>
          </w:p>
          <w:p w14:paraId="6AB6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3" w:firstLineChars="3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优化成品油网点布局。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在六盘山路南侧，新开渠街西侧，建设加油站网点。</w:t>
            </w:r>
          </w:p>
          <w:p w14:paraId="1399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3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.发展壮大二手车流通。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在中轴小镇布局品牌二手车经销网点、二手车交易市场，推进优信二手车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、锦和二手车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项目有序落地。</w:t>
            </w:r>
          </w:p>
          <w:p w14:paraId="6493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3" w:firstLineChars="3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.金凤区再生资源综合分拣中心项目</w:t>
            </w: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预计投资7000万元，用于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废纸、废塑料、废有色金属、废玻璃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等材料回收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分拣。</w:t>
            </w:r>
          </w:p>
        </w:tc>
      </w:tr>
    </w:tbl>
    <w:p w14:paraId="6FCB7114">
      <w:pPr>
        <w:bidi w:val="0"/>
        <w:rPr>
          <w:rFonts w:hint="eastAsia"/>
          <w:color w:val="auto"/>
          <w:highlight w:val="none"/>
        </w:rPr>
      </w:pPr>
    </w:p>
    <w:bookmarkEnd w:id="48"/>
    <w:bookmarkEnd w:id="49"/>
    <w:p w14:paraId="7157CA21">
      <w:pPr>
        <w:keepNext/>
        <w:keepLines/>
        <w:widowControl w:val="0"/>
        <w:spacing w:before="156" w:beforeLines="50" w:after="156" w:afterLines="50"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auto"/>
          <w:kern w:val="44"/>
          <w:sz w:val="44"/>
          <w:szCs w:val="36"/>
          <w:highlight w:val="none"/>
          <w:lang w:val="en-US" w:eastAsia="zh-CN" w:bidi="ar-SA"/>
        </w:rPr>
      </w:pPr>
      <w:bookmarkStart w:id="69" w:name="_Toc4229"/>
      <w:bookmarkStart w:id="70" w:name="_Toc24278"/>
      <w:bookmarkStart w:id="71" w:name="_Toc6184"/>
      <w:r>
        <w:rPr>
          <w:rFonts w:ascii="Times New Roman" w:hAnsi="Times New Roman" w:eastAsia="方正小标宋简体" w:cs="Times New Roman"/>
          <w:color w:val="auto"/>
          <w:kern w:val="44"/>
          <w:sz w:val="44"/>
          <w:szCs w:val="36"/>
          <w:highlight w:val="none"/>
          <w:lang w:val="en-US" w:eastAsia="zh-CN" w:bidi="ar-SA"/>
        </w:rPr>
        <w:t>第</w:t>
      </w:r>
      <w:r>
        <w:rPr>
          <w:rFonts w:hint="eastAsia" w:eastAsia="方正小标宋简体" w:cs="Times New Roman"/>
          <w:color w:val="auto"/>
          <w:kern w:val="44"/>
          <w:sz w:val="44"/>
          <w:szCs w:val="36"/>
          <w:highlight w:val="none"/>
          <w:lang w:val="en-US" w:eastAsia="zh-CN" w:bidi="ar-SA"/>
        </w:rPr>
        <w:t>四</w:t>
      </w:r>
      <w:r>
        <w:rPr>
          <w:rFonts w:ascii="Times New Roman" w:hAnsi="Times New Roman" w:eastAsia="方正小标宋简体" w:cs="Times New Roman"/>
          <w:color w:val="auto"/>
          <w:kern w:val="44"/>
          <w:sz w:val="44"/>
          <w:szCs w:val="36"/>
          <w:highlight w:val="none"/>
          <w:lang w:val="en-US" w:eastAsia="zh-CN" w:bidi="ar-SA"/>
        </w:rPr>
        <w:t>章</w:t>
      </w:r>
      <w:r>
        <w:rPr>
          <w:rFonts w:hint="eastAsia" w:eastAsia="方正小标宋简体" w:cs="Times New Roman"/>
          <w:color w:val="auto"/>
          <w:kern w:val="44"/>
          <w:sz w:val="44"/>
          <w:szCs w:val="36"/>
          <w:highlight w:val="none"/>
          <w:lang w:val="en-US" w:eastAsia="zh-CN" w:bidi="ar-SA"/>
        </w:rPr>
        <w:t xml:space="preserve"> </w:t>
      </w:r>
      <w:r>
        <w:rPr>
          <w:rFonts w:ascii="Times New Roman" w:hAnsi="Times New Roman" w:eastAsia="方正小标宋简体" w:cs="Times New Roman"/>
          <w:color w:val="auto"/>
          <w:kern w:val="44"/>
          <w:sz w:val="44"/>
          <w:szCs w:val="36"/>
          <w:highlight w:val="none"/>
          <w:lang w:val="en-US" w:eastAsia="zh-CN" w:bidi="ar-SA"/>
        </w:rPr>
        <w:t>规划保障</w:t>
      </w:r>
      <w:bookmarkEnd w:id="69"/>
      <w:bookmarkEnd w:id="70"/>
      <w:bookmarkEnd w:id="71"/>
    </w:p>
    <w:p w14:paraId="00F0C880">
      <w:pPr>
        <w:pStyle w:val="3"/>
        <w:bidi w:val="0"/>
        <w:rPr>
          <w:color w:val="auto"/>
          <w:highlight w:val="none"/>
        </w:rPr>
      </w:pPr>
      <w:bookmarkStart w:id="72" w:name="_Toc7089"/>
      <w:bookmarkStart w:id="73" w:name="_Toc8109"/>
      <w:bookmarkStart w:id="74" w:name="_Toc8789"/>
      <w:r>
        <w:rPr>
          <w:rFonts w:hint="eastAsia"/>
          <w:color w:val="auto"/>
          <w:highlight w:val="none"/>
          <w:lang w:val="en-US" w:eastAsia="zh-CN"/>
        </w:rPr>
        <w:t xml:space="preserve">第一节 </w:t>
      </w:r>
      <w:r>
        <w:rPr>
          <w:color w:val="auto"/>
          <w:highlight w:val="none"/>
        </w:rPr>
        <w:t>强化组织统筹机制</w:t>
      </w:r>
      <w:bookmarkEnd w:id="72"/>
      <w:bookmarkEnd w:id="73"/>
      <w:bookmarkEnd w:id="74"/>
    </w:p>
    <w:p w14:paraId="35219934">
      <w:pPr>
        <w:bidi w:val="0"/>
        <w:rPr>
          <w:color w:val="auto"/>
          <w:highlight w:val="none"/>
        </w:rPr>
      </w:pPr>
      <w:bookmarkStart w:id="75" w:name="_Toc7924"/>
      <w:r>
        <w:rPr>
          <w:color w:val="auto"/>
          <w:highlight w:val="none"/>
        </w:rPr>
        <w:t>坚持党的全面领导，</w:t>
      </w:r>
      <w:r>
        <w:rPr>
          <w:rFonts w:hint="eastAsia"/>
          <w:color w:val="auto"/>
          <w:highlight w:val="none"/>
        </w:rPr>
        <w:t>贯穿现代服务业发展全领域，牢牢把握正确方向。健全系统化推进机制，将规划任务项目化运作、清单式分解、责任化落实。建立多部门联席会议制度，督查成效，凝聚合力保障改革举措落地见效</w:t>
      </w:r>
      <w:r>
        <w:rPr>
          <w:color w:val="auto"/>
          <w:highlight w:val="none"/>
        </w:rPr>
        <w:t>。</w:t>
      </w:r>
    </w:p>
    <w:p w14:paraId="5913C3B4">
      <w:pPr>
        <w:pStyle w:val="3"/>
        <w:bidi w:val="0"/>
        <w:rPr>
          <w:color w:val="auto"/>
          <w:highlight w:val="none"/>
        </w:rPr>
      </w:pPr>
      <w:bookmarkStart w:id="76" w:name="_Toc6177"/>
      <w:bookmarkStart w:id="77" w:name="_Toc24661"/>
      <w:r>
        <w:rPr>
          <w:rFonts w:hint="eastAsia"/>
          <w:color w:val="auto"/>
          <w:highlight w:val="none"/>
          <w:lang w:val="en-US" w:eastAsia="zh-CN"/>
        </w:rPr>
        <w:t xml:space="preserve">第二节 </w:t>
      </w:r>
      <w:r>
        <w:rPr>
          <w:color w:val="auto"/>
          <w:highlight w:val="none"/>
        </w:rPr>
        <w:t>深化精准招商育企</w:t>
      </w:r>
      <w:bookmarkEnd w:id="75"/>
      <w:bookmarkEnd w:id="76"/>
      <w:bookmarkEnd w:id="77"/>
    </w:p>
    <w:p w14:paraId="2C448B86">
      <w:pPr>
        <w:rPr>
          <w:color w:val="auto"/>
          <w:highlight w:val="none"/>
        </w:rPr>
      </w:pPr>
      <w:bookmarkStart w:id="78" w:name="_Toc28721"/>
      <w:r>
        <w:rPr>
          <w:rFonts w:hint="eastAsia"/>
          <w:color w:val="auto"/>
          <w:highlight w:val="none"/>
        </w:rPr>
        <w:t>实施“商贸主体培育计划”，构建龙头、中小微、个体工商户梯度成长体系，支持龙头跨区域布局与智慧零售转型，引导中小微向“专精特新”发展，深化个体工商户“名特优新”分类培育。推进产业链精准招商，编制招商地图，建立200家重点企业数据库，对链主企业“一企一策”攻坚，创新招商模式，做优“投资宁夏・选择金凤”品牌，拓宽项目来源，统筹产业扶持资金，整合政策包精准匹配企业需求，提升招商吸引力与项目转化率。</w:t>
      </w:r>
    </w:p>
    <w:tbl>
      <w:tblPr>
        <w:tblStyle w:val="2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6838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vAlign w:val="center"/>
          </w:tcPr>
          <w:p w14:paraId="6E147B94">
            <w:pPr>
              <w:bidi w:val="0"/>
              <w:ind w:left="0" w:leftChars="0" w:firstLine="0" w:firstLineChars="0"/>
              <w:jc w:val="center"/>
              <w:rPr>
                <w:rFonts w:hint="default" w:ascii="仿宋_GB2312" w:hAnsi="仿宋_GB2312" w:eastAsia="楷体" w:cs="仿宋_GB2312"/>
                <w:b w:val="0"/>
                <w:bCs/>
                <w:color w:val="auto"/>
                <w:kern w:val="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0"/>
                <w:highlight w:val="none"/>
                <w:lang w:val="en-US" w:eastAsia="zh-CN"/>
              </w:rPr>
              <w:t>专栏8 招商引资引智工程</w:t>
            </w:r>
          </w:p>
        </w:tc>
      </w:tr>
      <w:tr w14:paraId="3066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vAlign w:val="top"/>
          </w:tcPr>
          <w:p w14:paraId="7ED5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1.实施产业链精准招商工程。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编制《金凤区商贸会展产业招商地图》，明确招商主攻方向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</w:tbl>
    <w:p w14:paraId="2593E4FA">
      <w:pPr>
        <w:rPr>
          <w:color w:val="auto"/>
          <w:highlight w:val="none"/>
        </w:rPr>
      </w:pPr>
    </w:p>
    <w:p w14:paraId="3E1B8E75">
      <w:pPr>
        <w:pStyle w:val="3"/>
        <w:bidi w:val="0"/>
        <w:rPr>
          <w:color w:val="auto"/>
          <w:highlight w:val="none"/>
        </w:rPr>
      </w:pPr>
      <w:bookmarkStart w:id="79" w:name="_Toc8166"/>
      <w:bookmarkStart w:id="80" w:name="_Toc9061"/>
      <w:r>
        <w:rPr>
          <w:rFonts w:hint="eastAsia"/>
          <w:color w:val="auto"/>
          <w:highlight w:val="none"/>
          <w:lang w:val="en-US" w:eastAsia="zh-CN"/>
        </w:rPr>
        <w:t xml:space="preserve">第三节 </w:t>
      </w:r>
      <w:r>
        <w:rPr>
          <w:color w:val="auto"/>
          <w:highlight w:val="none"/>
        </w:rPr>
        <w:t>优化双环境发展生态</w:t>
      </w:r>
      <w:bookmarkEnd w:id="78"/>
      <w:bookmarkEnd w:id="79"/>
      <w:bookmarkEnd w:id="80"/>
    </w:p>
    <w:p w14:paraId="1E32110C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优化营商环境。</w:t>
      </w:r>
      <w:r>
        <w:rPr>
          <w:rFonts w:hint="eastAsia"/>
          <w:color w:val="auto"/>
          <w:highlight w:val="none"/>
          <w:lang w:val="en-US" w:eastAsia="zh-CN"/>
        </w:rPr>
        <w:t>深化新兴业态集成审批改革，精简办事材料、压缩办理时限，推行“综合查一次”柔性执法。推动政务服务下沉，构建“15分钟政务服务圈”，实现涉企事项“一网通办”“跨省通办”。畅通政企常态化沟通渠道，落实助企纾困政策，规范推进商业外摆试点。健全重大项目全周期服务机制，通过专班代办、要素保障、政策激励、闭环督办，提速项目落地投产。</w:t>
      </w:r>
    </w:p>
    <w:p w14:paraId="77D77894">
      <w:pPr>
        <w:rPr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</w:rPr>
        <w:t>优化消费环境。</w:t>
      </w:r>
      <w:r>
        <w:rPr>
          <w:rFonts w:hint="eastAsia"/>
          <w:color w:val="auto"/>
          <w:highlight w:val="none"/>
        </w:rPr>
        <w:t>构建放心消费体系，落地涉旅投诉快速处置机制，布设消费维权站点，搭建纠纷多元化解平台。打造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</w:rPr>
        <w:t>放心消费在金凤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eastAsia"/>
          <w:color w:val="auto"/>
          <w:highlight w:val="none"/>
        </w:rPr>
        <w:t>特色品牌，完善商户信用监管，从严规范投诉处置。强化民生行业服务治理，依托行业自律与动态满意度监测，持续提升全域服务质量，守牢消费安全底线。</w:t>
      </w:r>
    </w:p>
    <w:p w14:paraId="1AB0DA3B">
      <w:pPr>
        <w:pStyle w:val="3"/>
        <w:bidi w:val="0"/>
        <w:rPr>
          <w:color w:val="auto"/>
          <w:highlight w:val="none"/>
        </w:rPr>
      </w:pPr>
      <w:bookmarkStart w:id="81" w:name="_Toc12430"/>
      <w:bookmarkStart w:id="82" w:name="_Toc4570"/>
      <w:bookmarkStart w:id="83" w:name="_Toc1803"/>
      <w:r>
        <w:rPr>
          <w:rFonts w:hint="eastAsia"/>
          <w:color w:val="auto"/>
          <w:highlight w:val="none"/>
          <w:lang w:val="en-US" w:eastAsia="zh-CN"/>
        </w:rPr>
        <w:t xml:space="preserve">第四节 </w:t>
      </w:r>
      <w:r>
        <w:rPr>
          <w:color w:val="auto"/>
          <w:highlight w:val="none"/>
        </w:rPr>
        <w:t>夯实资源要素支撑</w:t>
      </w:r>
      <w:bookmarkEnd w:id="81"/>
      <w:bookmarkEnd w:id="82"/>
      <w:bookmarkEnd w:id="83"/>
    </w:p>
    <w:p w14:paraId="3DEC3BF5">
      <w:pPr>
        <w:bidi w:val="0"/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强化财政金融保障。</w:t>
      </w:r>
      <w:r>
        <w:rPr>
          <w:rFonts w:hint="eastAsia"/>
          <w:color w:val="auto"/>
          <w:highlight w:val="none"/>
          <w:lang w:val="en-US" w:eastAsia="zh-CN"/>
        </w:rPr>
        <w:t>统筹整合中央预算内投资、超长期特别国债等各级财政资金，优化区级支出结构，优先保障规划重大项目落地。引导金融机构围绕现代服务业、重点消费场景开发专属产品，实施“一对一”包抓机制，出台专项政策，助力民营企业融资纾困。</w:t>
      </w:r>
    </w:p>
    <w:p w14:paraId="3C64D846">
      <w:pPr>
        <w:bidi w:val="0"/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保障项目用地空间。</w:t>
      </w:r>
      <w:r>
        <w:rPr>
          <w:rFonts w:hint="eastAsia"/>
          <w:color w:val="auto"/>
          <w:highlight w:val="none"/>
          <w:lang w:val="en-US" w:eastAsia="zh-CN"/>
        </w:rPr>
        <w:t>依托国土空间规划，优先保障重大服务业项目用地。创新用地模式，推广二三产业混合用地、“工业上楼”模式，适配都市新兴工业发展。针对性盘活闲置土地与楼宇，实行“一地一策、一楼一策”，提升土地集约利用效率。</w:t>
      </w:r>
    </w:p>
    <w:p w14:paraId="7531E936">
      <w:pPr>
        <w:bidi w:val="0"/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夯实人才与数据要素。</w:t>
      </w:r>
      <w:r>
        <w:rPr>
          <w:rFonts w:hint="eastAsia"/>
          <w:color w:val="auto"/>
          <w:highlight w:val="none"/>
          <w:lang w:val="en-US" w:eastAsia="zh-CN"/>
        </w:rPr>
        <w:t>聚焦商贸、电商、会展等领域精准引育人才，落实超级店长培育、安居创业配套政策，深化产教融合与职业技能培训。争取区级数据要素重大项目，搭建数据共享平台，打造算力、应用、孵化全链条生态，赋能服务业数字化转型。</w:t>
      </w:r>
    </w:p>
    <w:p w14:paraId="590C16EA">
      <w:pPr>
        <w:pStyle w:val="3"/>
        <w:bidi w:val="0"/>
        <w:rPr>
          <w:color w:val="auto"/>
          <w:highlight w:val="none"/>
        </w:rPr>
      </w:pPr>
      <w:bookmarkStart w:id="84" w:name="_Toc27827"/>
      <w:bookmarkStart w:id="85" w:name="_Toc8385"/>
      <w:bookmarkStart w:id="86" w:name="_Toc10795"/>
      <w:r>
        <w:rPr>
          <w:rFonts w:hint="eastAsia"/>
          <w:color w:val="auto"/>
          <w:highlight w:val="none"/>
          <w:lang w:val="en-US" w:eastAsia="zh-CN"/>
        </w:rPr>
        <w:t xml:space="preserve">第五节 </w:t>
      </w:r>
      <w:r>
        <w:rPr>
          <w:color w:val="auto"/>
          <w:highlight w:val="none"/>
        </w:rPr>
        <w:t>创新行业治理模式</w:t>
      </w:r>
      <w:bookmarkEnd w:id="84"/>
      <w:bookmarkEnd w:id="85"/>
      <w:bookmarkEnd w:id="86"/>
    </w:p>
    <w:p w14:paraId="06277317">
      <w:pPr>
        <w:bidi w:val="0"/>
        <w:rPr>
          <w:color w:val="auto"/>
          <w:highlight w:val="none"/>
          <w:lang w:val="en-US" w:eastAsia="zh-CN"/>
        </w:rPr>
      </w:pPr>
      <w:bookmarkStart w:id="87" w:name="_Toc23776"/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创新商贸治理模式。</w:t>
      </w:r>
      <w:r>
        <w:rPr>
          <w:color w:val="auto"/>
          <w:highlight w:val="none"/>
          <w:lang w:val="en-US" w:eastAsia="zh-CN"/>
        </w:rPr>
        <w:t>设立楼长</w:t>
      </w:r>
      <w:r>
        <w:rPr>
          <w:rFonts w:hint="eastAsia"/>
          <w:color w:val="auto"/>
          <w:highlight w:val="none"/>
          <w:lang w:val="en-US" w:eastAsia="zh-CN"/>
        </w:rPr>
        <w:t>、</w:t>
      </w:r>
      <w:r>
        <w:rPr>
          <w:color w:val="auto"/>
          <w:highlight w:val="none"/>
          <w:lang w:val="en-US" w:eastAsia="zh-CN"/>
        </w:rPr>
        <w:t>街长、圈长统筹环境整治、品牌联动、活动筹办等工作。依托商业联盟畅通政企沟通，制定行业公约、开展跨商圈促销，强化行业自律。依托数字技术搭建商贸大数据监测平台，精准摸排市场主体，通过消费热力图、客群画像等数据成果，为政务决策、招商引资、企业经营提供数据支撑。</w:t>
      </w:r>
    </w:p>
    <w:p w14:paraId="630A2983">
      <w:pPr>
        <w:bidi w:val="0"/>
        <w:rPr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筑牢安全生产治理体系。</w:t>
      </w:r>
      <w:r>
        <w:rPr>
          <w:rFonts w:hint="eastAsia"/>
          <w:color w:val="auto"/>
          <w:highlight w:val="none"/>
          <w:lang w:val="en-US" w:eastAsia="zh-CN"/>
        </w:rPr>
        <w:t>推动商贸经营场所智慧安防设施全覆盖，</w:t>
      </w:r>
      <w:r>
        <w:rPr>
          <w:color w:val="auto"/>
          <w:highlight w:val="none"/>
          <w:lang w:val="en-US" w:eastAsia="zh-CN"/>
        </w:rPr>
        <w:t>落实分级监管，压实企业安全主体责任，依托行业联盟统一安全规范，常态化开展安全互查、业务培训，全方位守牢商贸领域安全生产底线。</w:t>
      </w:r>
    </w:p>
    <w:p w14:paraId="1E6391EE">
      <w:pPr>
        <w:pStyle w:val="3"/>
        <w:bidi w:val="0"/>
        <w:rPr>
          <w:rFonts w:hint="eastAsia" w:eastAsia="黑体"/>
          <w:color w:val="auto"/>
          <w:highlight w:val="none"/>
          <w:lang w:eastAsia="zh-CN"/>
        </w:rPr>
      </w:pPr>
      <w:bookmarkStart w:id="88" w:name="_Toc25628"/>
      <w:bookmarkStart w:id="89" w:name="_Toc4156"/>
      <w:r>
        <w:rPr>
          <w:rFonts w:hint="eastAsia"/>
          <w:color w:val="auto"/>
          <w:highlight w:val="none"/>
          <w:lang w:val="en-US" w:eastAsia="zh-CN"/>
        </w:rPr>
        <w:t xml:space="preserve">第六节 </w:t>
      </w:r>
      <w:r>
        <w:rPr>
          <w:color w:val="auto"/>
          <w:highlight w:val="none"/>
        </w:rPr>
        <w:t>健全监测评估</w:t>
      </w:r>
      <w:r>
        <w:rPr>
          <w:rFonts w:hint="eastAsia"/>
          <w:color w:val="auto"/>
          <w:highlight w:val="none"/>
          <w:lang w:val="en-US" w:eastAsia="zh-CN"/>
        </w:rPr>
        <w:t>机制</w:t>
      </w:r>
      <w:bookmarkEnd w:id="87"/>
      <w:bookmarkEnd w:id="88"/>
      <w:bookmarkEnd w:id="89"/>
    </w:p>
    <w:p w14:paraId="16853F94">
      <w:pPr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完善规划全流程管控，依托大数据搭建消费统计监测体系，实时跟踪项目任务推进。引入第三方开展中期评估，结合多方评价优化工作考核。建立预警反馈机制，遇重大形势变化依法调整规划，严守发展安全底线，确保规划落地见效。</w:t>
      </w:r>
    </w:p>
    <w:p w14:paraId="29B4EBE5">
      <w:pPr>
        <w:bidi w:val="0"/>
        <w:rPr>
          <w:color w:val="auto"/>
          <w:highlight w:val="none"/>
        </w:rPr>
      </w:pPr>
    </w:p>
    <w:p w14:paraId="5FA140EE">
      <w:pPr>
        <w:bidi w:val="0"/>
        <w:rPr>
          <w:color w:val="auto"/>
          <w:highlight w:val="none"/>
        </w:rPr>
      </w:pPr>
    </w:p>
    <w:p w14:paraId="183ACA93">
      <w:pPr>
        <w:bidi w:val="0"/>
        <w:rPr>
          <w:rFonts w:hint="default"/>
          <w:color w:val="auto"/>
          <w:highlight w:val="none"/>
          <w:lang w:val="en-US" w:eastAsia="zh-CN"/>
        </w:rPr>
      </w:pPr>
    </w:p>
    <w:sectPr>
      <w:footerReference r:id="rId8" w:type="default"/>
      <w:footnotePr>
        <w:numFmt w:val="decimal"/>
        <w:numRestart w:val="eachSect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8D074-C472-4478-9FAC-46E077655A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BB61C8-4A22-4405-961E-FAFF809459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6D03D2-2C80-47D2-B121-B923E84BE5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04E6D18-FA97-4AFD-A4BF-063F1ED9DD5E}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63C6">
    <w:pPr>
      <w:pStyle w:val="14"/>
      <w:tabs>
        <w:tab w:val="left" w:pos="3779"/>
        <w:tab w:val="clear" w:pos="4153"/>
      </w:tabs>
      <w:ind w:firstLine="360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DB7B">
    <w:pPr>
      <w:pStyle w:val="14"/>
      <w:tabs>
        <w:tab w:val="left" w:pos="3779"/>
        <w:tab w:val="clear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F45D">
    <w:pPr>
      <w:pStyle w:val="14"/>
      <w:tabs>
        <w:tab w:val="left" w:pos="3779"/>
        <w:tab w:val="clear" w:pos="8306"/>
      </w:tabs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F7A85">
    <w:pPr>
      <w:pStyle w:val="14"/>
      <w:tabs>
        <w:tab w:val="left" w:pos="3779"/>
        <w:tab w:val="clear" w:pos="4153"/>
      </w:tabs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F396F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F396F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A6B"/>
    <w:rsid w:val="000C6DF3"/>
    <w:rsid w:val="00172A27"/>
    <w:rsid w:val="001C048E"/>
    <w:rsid w:val="002E7B02"/>
    <w:rsid w:val="003173A3"/>
    <w:rsid w:val="003302FC"/>
    <w:rsid w:val="0038789C"/>
    <w:rsid w:val="00492551"/>
    <w:rsid w:val="00542911"/>
    <w:rsid w:val="009A1E37"/>
    <w:rsid w:val="00A2099E"/>
    <w:rsid w:val="00A953E8"/>
    <w:rsid w:val="00B84726"/>
    <w:rsid w:val="00D83659"/>
    <w:rsid w:val="00E14D86"/>
    <w:rsid w:val="00E864DE"/>
    <w:rsid w:val="0172208D"/>
    <w:rsid w:val="01A324E9"/>
    <w:rsid w:val="020A7C81"/>
    <w:rsid w:val="02504B3F"/>
    <w:rsid w:val="02F30994"/>
    <w:rsid w:val="032000B3"/>
    <w:rsid w:val="03561F09"/>
    <w:rsid w:val="03A013D6"/>
    <w:rsid w:val="04555C3A"/>
    <w:rsid w:val="04602B3A"/>
    <w:rsid w:val="04631139"/>
    <w:rsid w:val="04805423"/>
    <w:rsid w:val="051200B1"/>
    <w:rsid w:val="070A64CF"/>
    <w:rsid w:val="07106193"/>
    <w:rsid w:val="071579E5"/>
    <w:rsid w:val="07F5012A"/>
    <w:rsid w:val="081B3F52"/>
    <w:rsid w:val="08471E20"/>
    <w:rsid w:val="08952D30"/>
    <w:rsid w:val="08A07782"/>
    <w:rsid w:val="08E8508D"/>
    <w:rsid w:val="096506FA"/>
    <w:rsid w:val="099F4AFF"/>
    <w:rsid w:val="09BB272E"/>
    <w:rsid w:val="09DA4A8F"/>
    <w:rsid w:val="0A7B20D5"/>
    <w:rsid w:val="0A9357F1"/>
    <w:rsid w:val="0B024724"/>
    <w:rsid w:val="0B1C57E6"/>
    <w:rsid w:val="0B270C9F"/>
    <w:rsid w:val="0B9D6080"/>
    <w:rsid w:val="0C1440F0"/>
    <w:rsid w:val="0C27447E"/>
    <w:rsid w:val="0C8F1FE8"/>
    <w:rsid w:val="0CCE0D62"/>
    <w:rsid w:val="0CE20369"/>
    <w:rsid w:val="0CEA36C2"/>
    <w:rsid w:val="0D7D0092"/>
    <w:rsid w:val="0DE620DB"/>
    <w:rsid w:val="0DE77B20"/>
    <w:rsid w:val="0E160A2D"/>
    <w:rsid w:val="0F5B4403"/>
    <w:rsid w:val="0FBA55CD"/>
    <w:rsid w:val="101833B4"/>
    <w:rsid w:val="10AD35C5"/>
    <w:rsid w:val="10C32668"/>
    <w:rsid w:val="112E0021"/>
    <w:rsid w:val="113D0264"/>
    <w:rsid w:val="117904CB"/>
    <w:rsid w:val="11C023AD"/>
    <w:rsid w:val="11E46FC8"/>
    <w:rsid w:val="1311511F"/>
    <w:rsid w:val="133E6982"/>
    <w:rsid w:val="13815685"/>
    <w:rsid w:val="1510411E"/>
    <w:rsid w:val="152A4727"/>
    <w:rsid w:val="15853F88"/>
    <w:rsid w:val="15877D00"/>
    <w:rsid w:val="158E5A93"/>
    <w:rsid w:val="160576DB"/>
    <w:rsid w:val="16565D39"/>
    <w:rsid w:val="17237EFC"/>
    <w:rsid w:val="173E20AB"/>
    <w:rsid w:val="17710C68"/>
    <w:rsid w:val="178C4EFF"/>
    <w:rsid w:val="18090EA0"/>
    <w:rsid w:val="18157C47"/>
    <w:rsid w:val="18A1732B"/>
    <w:rsid w:val="191A0E8B"/>
    <w:rsid w:val="19257FE5"/>
    <w:rsid w:val="194F322A"/>
    <w:rsid w:val="19954831"/>
    <w:rsid w:val="19A5109C"/>
    <w:rsid w:val="1A226249"/>
    <w:rsid w:val="1AB62FC9"/>
    <w:rsid w:val="1AB7627B"/>
    <w:rsid w:val="1AF818C9"/>
    <w:rsid w:val="1B852F33"/>
    <w:rsid w:val="1BDD214C"/>
    <w:rsid w:val="1CA613B3"/>
    <w:rsid w:val="1CBB4733"/>
    <w:rsid w:val="1CDD69AE"/>
    <w:rsid w:val="1CFF0AC4"/>
    <w:rsid w:val="1D4C0F58"/>
    <w:rsid w:val="1D6216B4"/>
    <w:rsid w:val="1DCC309C"/>
    <w:rsid w:val="1DD446D6"/>
    <w:rsid w:val="1DF93765"/>
    <w:rsid w:val="1E522E75"/>
    <w:rsid w:val="1EBA64FA"/>
    <w:rsid w:val="1ECA499A"/>
    <w:rsid w:val="1EE461C3"/>
    <w:rsid w:val="1EFC22E0"/>
    <w:rsid w:val="1F1C595D"/>
    <w:rsid w:val="1FA37033"/>
    <w:rsid w:val="1FA85442"/>
    <w:rsid w:val="20000DDB"/>
    <w:rsid w:val="207E43F5"/>
    <w:rsid w:val="208A1F3E"/>
    <w:rsid w:val="21475EFD"/>
    <w:rsid w:val="21537630"/>
    <w:rsid w:val="21933ED0"/>
    <w:rsid w:val="21AF7468"/>
    <w:rsid w:val="22165022"/>
    <w:rsid w:val="221B2C1C"/>
    <w:rsid w:val="225C42C2"/>
    <w:rsid w:val="22C12E00"/>
    <w:rsid w:val="22FB7394"/>
    <w:rsid w:val="23496F3C"/>
    <w:rsid w:val="24573B9A"/>
    <w:rsid w:val="245916B4"/>
    <w:rsid w:val="245E1E0F"/>
    <w:rsid w:val="253D3D2D"/>
    <w:rsid w:val="25BA1685"/>
    <w:rsid w:val="25FD0110"/>
    <w:rsid w:val="26062DCE"/>
    <w:rsid w:val="26121868"/>
    <w:rsid w:val="261A083F"/>
    <w:rsid w:val="26493E5A"/>
    <w:rsid w:val="26977FBF"/>
    <w:rsid w:val="26AC1AD7"/>
    <w:rsid w:val="26DD4165"/>
    <w:rsid w:val="273E35E4"/>
    <w:rsid w:val="275872BD"/>
    <w:rsid w:val="286E379A"/>
    <w:rsid w:val="29086F52"/>
    <w:rsid w:val="292D0766"/>
    <w:rsid w:val="29842A7C"/>
    <w:rsid w:val="2A591288"/>
    <w:rsid w:val="2B6F6A12"/>
    <w:rsid w:val="2B7E174D"/>
    <w:rsid w:val="2C927C51"/>
    <w:rsid w:val="2CA861DF"/>
    <w:rsid w:val="2CBC3EF2"/>
    <w:rsid w:val="2CD0422B"/>
    <w:rsid w:val="2D947DB7"/>
    <w:rsid w:val="2E9471D7"/>
    <w:rsid w:val="2EBB786D"/>
    <w:rsid w:val="2EF4131B"/>
    <w:rsid w:val="2F48695A"/>
    <w:rsid w:val="302F1268"/>
    <w:rsid w:val="30533A05"/>
    <w:rsid w:val="3102072B"/>
    <w:rsid w:val="311F308B"/>
    <w:rsid w:val="31292574"/>
    <w:rsid w:val="31821BD0"/>
    <w:rsid w:val="31B55A34"/>
    <w:rsid w:val="31C1717C"/>
    <w:rsid w:val="31FD161E"/>
    <w:rsid w:val="32753B87"/>
    <w:rsid w:val="328E566D"/>
    <w:rsid w:val="333B41A8"/>
    <w:rsid w:val="342332D5"/>
    <w:rsid w:val="343B31F2"/>
    <w:rsid w:val="359128EE"/>
    <w:rsid w:val="35C10BB4"/>
    <w:rsid w:val="366C6D72"/>
    <w:rsid w:val="36F97E7B"/>
    <w:rsid w:val="37183C08"/>
    <w:rsid w:val="37467E7E"/>
    <w:rsid w:val="37AD13F0"/>
    <w:rsid w:val="37C63D34"/>
    <w:rsid w:val="384652DA"/>
    <w:rsid w:val="384A6C3F"/>
    <w:rsid w:val="38CC1D4A"/>
    <w:rsid w:val="38E70932"/>
    <w:rsid w:val="391334D5"/>
    <w:rsid w:val="399351D0"/>
    <w:rsid w:val="39B93DA5"/>
    <w:rsid w:val="3AC84793"/>
    <w:rsid w:val="3ADC3D9A"/>
    <w:rsid w:val="3BC9056D"/>
    <w:rsid w:val="3C4D4F50"/>
    <w:rsid w:val="3CE01A6A"/>
    <w:rsid w:val="3CF814CF"/>
    <w:rsid w:val="3CFC2E9A"/>
    <w:rsid w:val="3DAC3EF8"/>
    <w:rsid w:val="3F081602"/>
    <w:rsid w:val="3F521371"/>
    <w:rsid w:val="401C35B2"/>
    <w:rsid w:val="40385F17"/>
    <w:rsid w:val="404A4AED"/>
    <w:rsid w:val="409A0980"/>
    <w:rsid w:val="412775BC"/>
    <w:rsid w:val="418F517C"/>
    <w:rsid w:val="41BB7780"/>
    <w:rsid w:val="42531D18"/>
    <w:rsid w:val="427B61DC"/>
    <w:rsid w:val="42B9333F"/>
    <w:rsid w:val="42D26925"/>
    <w:rsid w:val="43252782"/>
    <w:rsid w:val="43397FDC"/>
    <w:rsid w:val="434D31F4"/>
    <w:rsid w:val="43672D9B"/>
    <w:rsid w:val="43DE6DD5"/>
    <w:rsid w:val="4429733A"/>
    <w:rsid w:val="449576D9"/>
    <w:rsid w:val="44B148B4"/>
    <w:rsid w:val="45397E4E"/>
    <w:rsid w:val="45482758"/>
    <w:rsid w:val="45790026"/>
    <w:rsid w:val="4606476A"/>
    <w:rsid w:val="460D34AC"/>
    <w:rsid w:val="462907DC"/>
    <w:rsid w:val="46F54F33"/>
    <w:rsid w:val="46F60EF7"/>
    <w:rsid w:val="47B9631D"/>
    <w:rsid w:val="4804755C"/>
    <w:rsid w:val="48B02204"/>
    <w:rsid w:val="491C12E5"/>
    <w:rsid w:val="49895C9C"/>
    <w:rsid w:val="499E503D"/>
    <w:rsid w:val="49AB1508"/>
    <w:rsid w:val="4AD4683C"/>
    <w:rsid w:val="4AFD2237"/>
    <w:rsid w:val="4B29583E"/>
    <w:rsid w:val="4BB31A50"/>
    <w:rsid w:val="4C1827E3"/>
    <w:rsid w:val="4C2F7DB2"/>
    <w:rsid w:val="4CAC5CC3"/>
    <w:rsid w:val="4CC34DBA"/>
    <w:rsid w:val="4DC21A6D"/>
    <w:rsid w:val="4E213EBD"/>
    <w:rsid w:val="4E593C28"/>
    <w:rsid w:val="4EA36023"/>
    <w:rsid w:val="4EB32846"/>
    <w:rsid w:val="4F42290E"/>
    <w:rsid w:val="4F4C277E"/>
    <w:rsid w:val="4FAC5E28"/>
    <w:rsid w:val="4FF91D79"/>
    <w:rsid w:val="501677F0"/>
    <w:rsid w:val="501A1195"/>
    <w:rsid w:val="50A83A95"/>
    <w:rsid w:val="50CE713A"/>
    <w:rsid w:val="50FB5337"/>
    <w:rsid w:val="518E0D7A"/>
    <w:rsid w:val="52765355"/>
    <w:rsid w:val="52C65CE0"/>
    <w:rsid w:val="531B5950"/>
    <w:rsid w:val="54197134"/>
    <w:rsid w:val="54921E3F"/>
    <w:rsid w:val="54AB6112"/>
    <w:rsid w:val="54F22F39"/>
    <w:rsid w:val="55254864"/>
    <w:rsid w:val="55632A1B"/>
    <w:rsid w:val="55DB54F6"/>
    <w:rsid w:val="55F93296"/>
    <w:rsid w:val="561A3C9D"/>
    <w:rsid w:val="562B5CCA"/>
    <w:rsid w:val="570069C5"/>
    <w:rsid w:val="5706552F"/>
    <w:rsid w:val="5749020C"/>
    <w:rsid w:val="57583569"/>
    <w:rsid w:val="577E025B"/>
    <w:rsid w:val="58550FBC"/>
    <w:rsid w:val="586236D9"/>
    <w:rsid w:val="58C13B2C"/>
    <w:rsid w:val="58CB2496"/>
    <w:rsid w:val="58D57031"/>
    <w:rsid w:val="58FB7630"/>
    <w:rsid w:val="59265E4F"/>
    <w:rsid w:val="594E5AAE"/>
    <w:rsid w:val="59C12681"/>
    <w:rsid w:val="59F111B9"/>
    <w:rsid w:val="5A382944"/>
    <w:rsid w:val="5ABF12B7"/>
    <w:rsid w:val="5B4041A6"/>
    <w:rsid w:val="5BB662D5"/>
    <w:rsid w:val="5C21669E"/>
    <w:rsid w:val="5CC2508E"/>
    <w:rsid w:val="5DF82331"/>
    <w:rsid w:val="5E424B3B"/>
    <w:rsid w:val="5ED54C05"/>
    <w:rsid w:val="5F1B6AFB"/>
    <w:rsid w:val="5F7623AC"/>
    <w:rsid w:val="5FC86518"/>
    <w:rsid w:val="5FD255E8"/>
    <w:rsid w:val="60591866"/>
    <w:rsid w:val="60771CEC"/>
    <w:rsid w:val="615A7899"/>
    <w:rsid w:val="633C1DEF"/>
    <w:rsid w:val="63753A9B"/>
    <w:rsid w:val="63A97DB1"/>
    <w:rsid w:val="643E324C"/>
    <w:rsid w:val="64435495"/>
    <w:rsid w:val="645E5D4E"/>
    <w:rsid w:val="647A4633"/>
    <w:rsid w:val="64E57B6C"/>
    <w:rsid w:val="652D1B5C"/>
    <w:rsid w:val="657B69CF"/>
    <w:rsid w:val="65922853"/>
    <w:rsid w:val="65FB7383"/>
    <w:rsid w:val="66304E17"/>
    <w:rsid w:val="66852703"/>
    <w:rsid w:val="66B37D7E"/>
    <w:rsid w:val="66F24B67"/>
    <w:rsid w:val="672B276E"/>
    <w:rsid w:val="67302F28"/>
    <w:rsid w:val="67453CC4"/>
    <w:rsid w:val="67531778"/>
    <w:rsid w:val="675C2B49"/>
    <w:rsid w:val="67D55C76"/>
    <w:rsid w:val="67DF08A2"/>
    <w:rsid w:val="67EE28EF"/>
    <w:rsid w:val="684D56C7"/>
    <w:rsid w:val="68D75A1D"/>
    <w:rsid w:val="69093FBC"/>
    <w:rsid w:val="695232F6"/>
    <w:rsid w:val="699D27C3"/>
    <w:rsid w:val="69A9560C"/>
    <w:rsid w:val="6A293704"/>
    <w:rsid w:val="6A4F4495"/>
    <w:rsid w:val="6A615EE7"/>
    <w:rsid w:val="6A886D61"/>
    <w:rsid w:val="6AA81420"/>
    <w:rsid w:val="6AEF704E"/>
    <w:rsid w:val="6B0B1856"/>
    <w:rsid w:val="6B1C15C0"/>
    <w:rsid w:val="6B6F369A"/>
    <w:rsid w:val="6BC04C6F"/>
    <w:rsid w:val="6BDE530C"/>
    <w:rsid w:val="6BEF7E61"/>
    <w:rsid w:val="6D226313"/>
    <w:rsid w:val="6DAA19FC"/>
    <w:rsid w:val="6DC472A5"/>
    <w:rsid w:val="6DCE5641"/>
    <w:rsid w:val="6E076DA5"/>
    <w:rsid w:val="6E184B0E"/>
    <w:rsid w:val="6E802CE4"/>
    <w:rsid w:val="6F5A41A3"/>
    <w:rsid w:val="706E6C67"/>
    <w:rsid w:val="70B15FEE"/>
    <w:rsid w:val="70BF29A9"/>
    <w:rsid w:val="70CE1546"/>
    <w:rsid w:val="70EC148A"/>
    <w:rsid w:val="712D2EBD"/>
    <w:rsid w:val="716876C8"/>
    <w:rsid w:val="718D45E7"/>
    <w:rsid w:val="722B1445"/>
    <w:rsid w:val="73871F06"/>
    <w:rsid w:val="73EA2324"/>
    <w:rsid w:val="74393307"/>
    <w:rsid w:val="74654825"/>
    <w:rsid w:val="74AE67EC"/>
    <w:rsid w:val="74E8213D"/>
    <w:rsid w:val="75176CCE"/>
    <w:rsid w:val="75A03D67"/>
    <w:rsid w:val="75CB4F55"/>
    <w:rsid w:val="75D301F7"/>
    <w:rsid w:val="764346F2"/>
    <w:rsid w:val="764F12E9"/>
    <w:rsid w:val="76AC04E9"/>
    <w:rsid w:val="76D9077B"/>
    <w:rsid w:val="76E45ED5"/>
    <w:rsid w:val="77456248"/>
    <w:rsid w:val="77471B18"/>
    <w:rsid w:val="775546DD"/>
    <w:rsid w:val="775C1463"/>
    <w:rsid w:val="7778661E"/>
    <w:rsid w:val="780A371A"/>
    <w:rsid w:val="78671402"/>
    <w:rsid w:val="78E35D19"/>
    <w:rsid w:val="78EB7D6C"/>
    <w:rsid w:val="790939D1"/>
    <w:rsid w:val="794B4C77"/>
    <w:rsid w:val="79F02BEB"/>
    <w:rsid w:val="7A340F22"/>
    <w:rsid w:val="7A3515D2"/>
    <w:rsid w:val="7A9173EE"/>
    <w:rsid w:val="7AEF6DC1"/>
    <w:rsid w:val="7BBA7205"/>
    <w:rsid w:val="7BD6363C"/>
    <w:rsid w:val="7BED3709"/>
    <w:rsid w:val="7C501917"/>
    <w:rsid w:val="7C7575D0"/>
    <w:rsid w:val="7E0B1578"/>
    <w:rsid w:val="7E7A61C9"/>
    <w:rsid w:val="7E861620"/>
    <w:rsid w:val="7EC46B81"/>
    <w:rsid w:val="7EC7253A"/>
    <w:rsid w:val="7F4369DB"/>
    <w:rsid w:val="7F451CAE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36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ind w:firstLine="0" w:firstLineChars="0"/>
      <w:jc w:val="center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eastAsia="楷体"/>
      <w:b/>
    </w:rPr>
  </w:style>
  <w:style w:type="paragraph" w:styleId="5">
    <w:name w:val="heading 4"/>
    <w:basedOn w:val="1"/>
    <w:next w:val="1"/>
    <w:unhideWhenUsed/>
    <w:qFormat/>
    <w:uiPriority w:val="0"/>
    <w:pPr>
      <w:jc w:val="both"/>
      <w:outlineLvl w:val="3"/>
    </w:pPr>
    <w:rPr>
      <w:rFonts w:hint="eastAsia" w:ascii="Times New Roman" w:hAnsi="Times New Roman" w:cs="Times New Roman"/>
      <w:b/>
      <w:bCs/>
      <w:kern w:val="0"/>
      <w:szCs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rFonts w:ascii="Times New Roman" w:hAnsi="Times New Roma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10"/>
    <w:qFormat/>
    <w:uiPriority w:val="99"/>
    <w:pPr>
      <w:spacing w:after="120"/>
      <w:ind w:left="420"/>
    </w:pPr>
    <w:rPr>
      <w:rFonts w:ascii="Calibri" w:hAnsi="Calibri" w:cs="Calibri"/>
      <w:kern w:val="0"/>
      <w:sz w:val="24"/>
      <w:szCs w:val="24"/>
    </w:rPr>
  </w:style>
  <w:style w:type="paragraph" w:styleId="10">
    <w:name w:val="Body Text First Indent 2"/>
    <w:basedOn w:val="9"/>
    <w:next w:val="1"/>
    <w:qFormat/>
    <w:uiPriority w:val="99"/>
    <w:pPr>
      <w:ind w:left="0" w:leftChars="200"/>
    </w:pPr>
    <w:rPr>
      <w:rFonts w:ascii="??" w:hAnsi="??" w:cs="??"/>
    </w:rPr>
  </w:style>
  <w:style w:type="paragraph" w:styleId="11">
    <w:name w:val="toc 3"/>
    <w:basedOn w:val="1"/>
    <w:next w:val="1"/>
    <w:qFormat/>
    <w:uiPriority w:val="0"/>
    <w:pPr>
      <w:ind w:left="480" w:leftChars="150" w:firstLine="0" w:firstLineChars="0"/>
    </w:pPr>
    <w:rPr>
      <w:rFonts w:ascii="Times New Roman" w:hAnsi="Times New Roman" w:eastAsia="楷体"/>
      <w:sz w:val="30"/>
    </w:rPr>
  </w:style>
  <w:style w:type="paragraph" w:styleId="12">
    <w:name w:val="Body Text Indent 2"/>
    <w:next w:val="13"/>
    <w:qFormat/>
    <w:uiPriority w:val="0"/>
    <w:pPr>
      <w:widowControl w:val="0"/>
      <w:spacing w:line="520" w:lineRule="exact"/>
      <w:ind w:firstLine="630" w:firstLineChars="200"/>
      <w:jc w:val="both"/>
    </w:pPr>
    <w:rPr>
      <w:rFonts w:ascii="仿宋_GB2312" w:hAnsi="仿宋_GB2312" w:eastAsia="华文行楷" w:cs="仿宋_GB2312"/>
      <w:kern w:val="2"/>
      <w:sz w:val="32"/>
      <w:szCs w:val="32"/>
      <w:lang w:val="en-US" w:eastAsia="zh-CN" w:bidi="ar-SA"/>
    </w:rPr>
  </w:style>
  <w:style w:type="paragraph" w:customStyle="1" w:styleId="13">
    <w:name w:val="样式 样式 样式 样式 小四 行距: 1.5 倍行距 + 首行缩进:  2 字符 + 首行缩进:  2 字符 + 首行缩进:  ..."/>
    <w:qFormat/>
    <w:uiPriority w:val="0"/>
    <w:pPr>
      <w:widowControl w:val="0"/>
      <w:snapToGrid w:val="0"/>
      <w:spacing w:line="360" w:lineRule="auto"/>
      <w:ind w:firstLine="592" w:firstLineChars="200"/>
      <w:jc w:val="both"/>
    </w:pPr>
    <w:rPr>
      <w:rFonts w:ascii="Times New Roman" w:hAnsi="Times New Roman" w:eastAsia="宋体" w:cs="宋体"/>
      <w:spacing w:val="8"/>
      <w:kern w:val="2"/>
      <w:sz w:val="24"/>
      <w:lang w:val="en-US" w:eastAsia="zh-CN" w:bidi="ar-SA"/>
    </w:rPr>
  </w:style>
  <w:style w:type="paragraph" w:styleId="1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6">
    <w:name w:val="toc 1"/>
    <w:basedOn w:val="1"/>
    <w:next w:val="1"/>
    <w:qFormat/>
    <w:uiPriority w:val="0"/>
    <w:pPr>
      <w:spacing w:line="520" w:lineRule="exact"/>
      <w:ind w:firstLine="0" w:firstLineChars="0"/>
    </w:pPr>
    <w:rPr>
      <w:rFonts w:ascii="Times New Roman" w:hAnsi="Times New Roman" w:eastAsia="方正小标宋简体"/>
      <w:sz w:val="28"/>
    </w:rPr>
  </w:style>
  <w:style w:type="paragraph" w:styleId="1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8">
    <w:name w:val="toc 2"/>
    <w:basedOn w:val="1"/>
    <w:next w:val="1"/>
    <w:qFormat/>
    <w:uiPriority w:val="0"/>
    <w:pPr>
      <w:spacing w:line="520" w:lineRule="exact"/>
      <w:ind w:left="320" w:leftChars="100" w:firstLine="0" w:firstLineChars="0"/>
    </w:pPr>
    <w:rPr>
      <w:rFonts w:ascii="Times New Roman" w:hAnsi="Times New Roman" w:eastAsia="黑体"/>
      <w:sz w:val="28"/>
    </w:r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Hyperlink"/>
    <w:basedOn w:val="23"/>
    <w:qFormat/>
    <w:uiPriority w:val="0"/>
    <w:rPr>
      <w:color w:val="0000FF"/>
      <w:u w:val="single"/>
    </w:rPr>
  </w:style>
  <w:style w:type="character" w:styleId="26">
    <w:name w:val="footnote reference"/>
    <w:basedOn w:val="23"/>
    <w:qFormat/>
    <w:uiPriority w:val="0"/>
    <w:rPr>
      <w:vertAlign w:val="superscript"/>
    </w:rPr>
  </w:style>
  <w:style w:type="character" w:customStyle="1" w:styleId="27">
    <w:name w:val="标题 2 字符"/>
    <w:link w:val="3"/>
    <w:qFormat/>
    <w:uiPriority w:val="0"/>
    <w:rPr>
      <w:rFonts w:ascii="Times New Roman" w:hAnsi="Times New Roman" w:eastAsia="黑体"/>
    </w:rPr>
  </w:style>
  <w:style w:type="paragraph" w:customStyle="1" w:styleId="2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font61"/>
    <w:basedOn w:val="2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0">
    <w:name w:val="font01"/>
    <w:basedOn w:val="2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1">
    <w:name w:val="font11"/>
    <w:basedOn w:val="2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2">
    <w:name w:val="font31"/>
    <w:basedOn w:val="23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33">
    <w:name w:val="font4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143c4e48-641f-4a21-b15d-caf2ebfa6114</errorID>
      <errorWord>党的二十大和二十届历次全会精神</errorWord>
      <group>L1_Political</group>
      <groupName>政治性问题</groupName>
      <ability>L2_Keyword</ability>
      <abilityName>固定表述</abilityName>
      <candidateList>
        <item>党的二十大和二十届二中、三中全会精神</item>
      </candidateList>
      <explain>此处内容疑似含有固定表述相关错误，建议核查。</explain>
      <paraID>7D6BE58F</paraID>
      <start>27</start>
      <end>42</end>
      <status>ignored</status>
      <modifiedWord/>
      <trackRevisions>false</trackRevisions>
    </reviewItem>
    <reviewItem>
      <errorID>9325182c-67ca-4839-95f1-60a4e430d9ad</errorID>
      <errorWord>以高质量发展为主题</errorWord>
      <group>L1_Political</group>
      <groupName>政治性问题</groupName>
      <ability>L2_Keyword</ability>
      <abilityName>固定表述</abilityName>
      <candidateList>
        <item>以推动高质量发展为主题</item>
      </candidateList>
      <explain>词汇“以推动高质量发展为主题”在特定场景下为固定表述形式，请确认此处的“以高质量发展为主题”是否存在不当。</explain>
      <paraID>7D6BE58F</paraID>
      <start>170</start>
      <end>179</end>
      <status>ignored</status>
      <modifiedWord/>
      <trackRevisions>false</trackRevisions>
    </reviewItem>
    <reviewItem>
      <errorID>3e113c53-cca0-4945-abfb-2f0ab667b662</errorID>
      <errorWord>医</errorWord>
      <group>L1_Grammar</group>
      <groupName>语法问题</groupName>
      <ability>L2_Grammar</ability>
      <abilityName>语法错误</abilityName>
      <candidateList>
        <item>发展医</item>
      </candidateList>
      <explain/>
      <paraID>6A63FC7D</paraID>
      <start>90</start>
      <end>93</end>
      <status>modified</status>
      <modifiedWord>发展医</modifiedWord>
      <trackRevisions>true</trackRevisions>
    </reviewItem>
    <reviewItem>
      <errorID>fafdc3a0-fde3-4600-8d39-56c470a81996</errorID>
      <errorWord>、和</errorWord>
      <group>L1_Punc</group>
      <groupName>标点问题</groupName>
      <ability>L2_Punc_CN</ability>
      <abilityName>标点符号问题</abilityName>
      <candidateList>
        <item>和</item>
      </candidateList>
      <explain>“及”“和”“等”连词前不宜使用顿号，建议删除（或使用逗号）。</explain>
      <paraID>4BC089BE</paraID>
      <start>51</start>
      <end>53</end>
      <status>ignored</status>
      <modifiedWord/>
      <trackRevisions>false</trackRevisions>
    </reviewItem>
    <reviewItem>
      <errorID>6799a5c6-873d-4077-a2ed-027c04cfd1b9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2262C72E</paraID>
      <start>16</start>
      <end>17</end>
      <status>ignored</status>
      <modifiedWord/>
      <trackRevisions>false</trackRevisions>
    </reviewItem>
    <reviewItem>
      <errorID>0244c20a-3f87-45c4-a5f6-d65bc23672af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2262C72E</paraID>
      <start>62</start>
      <end>63</end>
      <status>unmodified</status>
      <modifiedWord/>
      <trackRevisions>false</trackRevisions>
    </reviewItem>
    <reviewItem>
      <errorID>ffb46504-9ea0-4018-9318-c23911852abc</errorID>
      <errorWord>需求</errorWord>
      <group>L1_Punc</group>
      <groupName>标点问题</groupName>
      <ability>L2_Punc_CN</ability>
      <abilityName>标点符号问题</abilityName>
      <candidateList>
        <item>需求。</item>
      </candidateList>
      <explain/>
      <paraID>42168595</paraID>
      <start>80</start>
      <end>82</end>
      <status>ignored</status>
      <modifiedWord/>
      <trackRevisions>false</trackRevisions>
    </reviewItem>
    <reviewItem>
      <errorID>eebad4bc-4bc2-4a6a-a337-54a6b02df795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7B2DB584</paraID>
      <start>54</start>
      <end>55</end>
      <status>ignored</status>
      <modifiedWord/>
      <trackRevisions>false</trackRevisions>
    </reviewItem>
    <reviewItem>
      <errorID>97a66878-95c7-4fb0-bed3-4dee7292083a</errorID>
      <errorWord>扶持</errorWord>
      <group>L1_Punc</group>
      <groupName>标点问题</groupName>
      <ability>L2_Punc_CN</ability>
      <abilityName>标点符号问题</abilityName>
      <candidateList>
        <item>，扶持</item>
      </candidateList>
      <explain/>
      <paraID>3D9F6B01</paraID>
      <start>33</start>
      <end>35</end>
      <status>ignored</status>
      <modifiedWord/>
      <trackRevisions>false</trackRevisions>
    </reviewItem>
    <reviewItem>
      <errorID>1596f15c-b778-499d-ad06-03873bf78da7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507879D7</paraID>
      <start>51</start>
      <end>52</end>
      <status>ignored</status>
      <modifiedWord/>
      <trackRevisions>false</trackRevisions>
    </reviewItem>
    <reviewItem>
      <errorID>ad00f7f2-c41e-4d36-8361-ef571acf56fd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 1B5D306</paraID>
      <start>28</start>
      <end>29</end>
      <status>ignored</status>
      <modifiedWord/>
      <trackRevisions>false</trackRevisions>
    </reviewItem>
    <reviewItem>
      <errorID>2785c0f8-3bf5-4ca8-88f4-02062acac028</errorID>
      <errorWord>《</errorWord>
      <group>L1_Punc</group>
      <groupName>标点问题</groupName>
      <ability>L2_Punc_CN</ability>
      <abilityName>标点符号问题</abilityName>
      <candidateList>
        <item/>
      </candidateList>
      <explain/>
      <paraID>183ED109</paraID>
      <start>20</start>
      <end>21</end>
      <status>ignored</status>
      <modifiedWord/>
      <trackRevisions>false</trackRevisions>
    </reviewItem>
    <reviewItem>
      <errorID>c581c83b-b439-42ef-83ff-4441acd88481</errorID>
      <errorWord>》</errorWord>
      <group>L1_Punc</group>
      <groupName>标点问题</groupName>
      <ability>L2_Punc_CN</ability>
      <abilityName>标点符号问题</abilityName>
      <candidateList>
        <item/>
      </candidateList>
      <explain/>
      <paraID>183ED109</paraID>
      <start>36</start>
      <end>37</end>
      <status>unmodified</status>
      <modifiedWord/>
      <trackRevisions>false</trackRevisions>
    </reviewItem>
    <reviewItem>
      <errorID>db576b05-3d7d-40c7-80bc-f2d0e8134205</errorID>
      <errorWord>，</errorWord>
      <group>L1_Grammar</group>
      <groupName>语法问题</groupName>
      <ability>L2_Grammar</ability>
      <abilityName>语法错误</abilityName>
      <candidateList>
        <item>业态，</item>
      </candidateList>
      <explain/>
      <paraID>6B0D7A56</paraID>
      <start>10</start>
      <end>11</end>
      <status>ignored</status>
      <modifiedWord/>
      <trackRevisions>false</trackRevisions>
    </reviewItem>
    <reviewItem>
      <errorID>ead27128-8456-40a5-8c9f-c7837f023b14</errorID>
      <errorWord>发展</errorWord>
      <group>L1_Punc</group>
      <groupName>标点问题</groupName>
      <ability>L2_Punc_CN</ability>
      <abilityName>标点符号问题</abilityName>
      <candidateList>
        <item>，发展</item>
      </candidateList>
      <explain/>
      <paraID>44921942</paraID>
      <start>16</start>
      <end>18</end>
      <status>ignored</status>
      <modifiedWord/>
      <trackRevisions>false</trackRevisions>
    </reviewItem>
    <reviewItem>
      <errorID>d1480b6f-70d6-44e6-ada3-a2f7b1e10cea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44921942</paraID>
      <start>32</start>
      <end>33</end>
      <status>unmodified</status>
      <modifiedWord/>
      <trackRevisions>false</trackRevisions>
    </reviewItem>
    <reviewItem>
      <errorID>e15c93dd-6fc0-4050-b70c-8bc08442711b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44921942</paraID>
      <start>48</start>
      <end>49</end>
      <status>ignored</status>
      <modifiedWord/>
      <trackRevisions>false</trackRevisions>
    </reviewItem>
    <reviewItem>
      <errorID>0692a128-c18e-4eed-88a7-23e84aa2be9a</errorID>
      <errorWord>现代商贸物流体系</errorWord>
      <group>L1_Political</group>
      <groupName>政治性问题</groupName>
      <ability>L2_Keyword</ability>
      <abilityName>固定表述</abilityName>
      <candidateList>
        <item>现代商贸流通体系</item>
      </candidateList>
      <explain>词汇“现代商贸流通体系”在特定场景下为固定表述形式，请确认此处的“现代商贸物流体系”是否存在不当。</explain>
      <paraID>22790991</paraID>
      <start>2</start>
      <end>10</end>
      <status>ignored</status>
      <modifiedWord/>
      <trackRevisions>false</trackRevisions>
    </reviewItem>
    <reviewItem>
      <errorID>d7e83137-f581-4a91-9951-a6e802d391a0</errorID>
      <errorWord>形成</errorWord>
      <group>L1_Grammar</group>
      <groupName>语法问题</groupName>
      <ability>L2_Grammar</ability>
      <abilityName>语法错误</abilityName>
      <candidateList>
        <item>队伍形成</item>
      </candidateList>
      <explain/>
      <paraID>6A828555</paraID>
      <start>46</start>
      <end>48</end>
      <status>ignored</status>
      <modifiedWord/>
      <trackRevisions>false</trackRevisions>
    </reviewItem>
    <reviewItem>
      <errorID>4c254d33-144c-4e99-b401-00a8daf50c0d</errorID>
      <errorWord>交汇</errorWord>
      <group>L1_Word</group>
      <groupName>字词问题</groupName>
      <ability>L2_Typo</ability>
      <abilityName>字词错误</abilityName>
      <candidateList>
        <item>交会</item>
      </candidateList>
      <explain/>
      <paraID>6AB69693</paraID>
      <start>20</start>
      <end>22</end>
      <status>ignored</status>
      <modifiedWord/>
      <trackRevisions>false</trackRevisions>
    </reviewItem>
    <reviewItem>
      <errorID>ff69b37c-f586-4337-934e-ae1a03dabeb3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2C448B86</paraID>
      <start>120</start>
      <end>121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6b596-ba7a-458a-ae28-3a72ca8f21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9814</Words>
  <Characters>9987</Characters>
  <Lines>1225</Lines>
  <Paragraphs>713</Paragraphs>
  <TotalTime>7</TotalTime>
  <ScaleCrop>false</ScaleCrop>
  <LinksUpToDate>false</LinksUpToDate>
  <CharactersWithSpaces>10478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2025-11-13T09:35:00Z</dcterms:created>
  <dc:creator>Elaine</dc:creator>
  <cp:lastModifiedBy>WPS_1617308645</cp:lastModifiedBy>
  <dcterms:modified xsi:type="dcterms:W3CDTF">2026-06-29T01:27:59Z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4A03D8E55BAC4DEC98070ACD0607BD88_13</vt:lpwstr>
  </property>
  <property fmtid="{D5CDD505-2E9C-101B-9397-08002B2CF9AE}" pid="4" name="KSOTemplateDocerSaveRecord">
    <vt:lpwstr>eyJoZGlkIjoiZWE4ZGVmY2JiOTRlNTY3NjUyYmZhYzAyMWI4ZmY0MGIiLCJ1c2VySWQiOiIxMTk5MDM0NjMxIn0=</vt:lpwstr>
  </property>
</Properties>
</file>